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A4544" w14:textId="110E647C" w:rsidR="00E90E49" w:rsidRPr="00327997" w:rsidRDefault="00E90E49" w:rsidP="00327997">
      <w:pPr>
        <w:pStyle w:val="3GPPHeader"/>
        <w:rPr>
          <w:highlight w:val="yellow"/>
        </w:rPr>
      </w:pPr>
      <w:r w:rsidRPr="00327997">
        <w:t>3GPP TSG-RAN WG</w:t>
      </w:r>
      <w:r w:rsidR="00790B99" w:rsidRPr="00327997">
        <w:t>1</w:t>
      </w:r>
      <w:r w:rsidRPr="00327997">
        <w:tab/>
      </w:r>
      <w:r w:rsidR="00790B99" w:rsidRPr="00327997">
        <w:t>R1</w:t>
      </w:r>
      <w:r w:rsidR="00091557" w:rsidRPr="00327997">
        <w:t>-</w:t>
      </w:r>
      <w:r w:rsidR="005F3025" w:rsidRPr="00B27A83">
        <w:t>1</w:t>
      </w:r>
      <w:r w:rsidR="00A85C6C" w:rsidRPr="00B27A83">
        <w:t>7</w:t>
      </w:r>
      <w:r w:rsidR="00B27A83" w:rsidRPr="00B27A83">
        <w:t>01166</w:t>
      </w:r>
    </w:p>
    <w:p w14:paraId="25BFFB2D"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5113AD09" w14:textId="77777777" w:rsidR="00E90E49" w:rsidRPr="00CE0424" w:rsidRDefault="00E90E49" w:rsidP="00357380">
      <w:pPr>
        <w:pStyle w:val="3GPPHeader"/>
      </w:pPr>
    </w:p>
    <w:p w14:paraId="7AE21B3E" w14:textId="77777777" w:rsidR="00E90E49" w:rsidRPr="00327997" w:rsidRDefault="003D3C45" w:rsidP="00327997">
      <w:pPr>
        <w:pStyle w:val="3GPPHeader"/>
      </w:pPr>
      <w:r w:rsidRPr="00327997">
        <w:t>Source:</w:t>
      </w:r>
      <w:r w:rsidR="00E90E49" w:rsidRPr="00327997">
        <w:tab/>
      </w:r>
      <w:r w:rsidR="00F64C2B" w:rsidRPr="00327997">
        <w:t>Ericsson</w:t>
      </w:r>
    </w:p>
    <w:p w14:paraId="4F3C05B8" w14:textId="77777777" w:rsidR="00E90E49" w:rsidRPr="00327997" w:rsidRDefault="003D3C45" w:rsidP="00327997">
      <w:pPr>
        <w:pStyle w:val="3GPPHeader"/>
      </w:pPr>
      <w:r w:rsidRPr="00327997">
        <w:t>Title:</w:t>
      </w:r>
      <w:r w:rsidR="00E90E49" w:rsidRPr="00327997">
        <w:tab/>
      </w:r>
      <w:r w:rsidR="004939A6">
        <w:t>Clarifications</w:t>
      </w:r>
      <w:r w:rsidR="00E91CBD">
        <w:t xml:space="preserve"> on </w:t>
      </w:r>
      <w:r w:rsidR="00164C48">
        <w:t>B</w:t>
      </w:r>
      <w:r w:rsidR="00E91CBD">
        <w:t xml:space="preserve">lockage </w:t>
      </w:r>
      <w:r w:rsidR="00164C48">
        <w:t>M</w:t>
      </w:r>
      <w:r w:rsidR="00E91CBD">
        <w:t>odel B</w:t>
      </w:r>
    </w:p>
    <w:p w14:paraId="4CB448C6" w14:textId="77777777" w:rsidR="00952A24" w:rsidRPr="00327997" w:rsidRDefault="00952A24" w:rsidP="00327997">
      <w:pPr>
        <w:pStyle w:val="3GPPHeader"/>
      </w:pPr>
      <w:r w:rsidRPr="00327997">
        <w:t>Agenda Item:</w:t>
      </w:r>
      <w:r w:rsidRPr="00327997">
        <w:tab/>
      </w:r>
      <w:r w:rsidR="004939A6" w:rsidRPr="008D74B5">
        <w:t>5</w:t>
      </w:r>
      <w:r w:rsidR="00A85C6C" w:rsidRPr="008D74B5">
        <w:t>.1.</w:t>
      </w:r>
      <w:r w:rsidR="004939A6" w:rsidRPr="008D74B5">
        <w:t>10</w:t>
      </w:r>
      <w:r w:rsidR="00A85C6C" w:rsidRPr="008D74B5">
        <w:t>.</w:t>
      </w:r>
      <w:r w:rsidR="004939A6" w:rsidRPr="008D74B5">
        <w:t>2</w:t>
      </w:r>
    </w:p>
    <w:p w14:paraId="3B58A11B"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52296618" w14:textId="77777777" w:rsidR="00E90E49" w:rsidRPr="00CE0424" w:rsidRDefault="007F75D5" w:rsidP="00CE0424">
      <w:pPr>
        <w:pStyle w:val="Heading1"/>
      </w:pPr>
      <w:r>
        <w:t>Introduction</w:t>
      </w:r>
    </w:p>
    <w:p w14:paraId="193E8608" w14:textId="540F929E" w:rsidR="00477768" w:rsidRPr="00CE0424" w:rsidRDefault="004939A6" w:rsidP="00E849D0">
      <w:pPr>
        <w:pStyle w:val="BodyText"/>
      </w:pPr>
      <w:r>
        <w:t xml:space="preserve">3GPP </w:t>
      </w:r>
      <w:r w:rsidR="00866159">
        <w:t xml:space="preserve">technical report (TR) </w:t>
      </w:r>
      <w:r>
        <w:t xml:space="preserve">38.900 </w:t>
      </w:r>
      <w:r w:rsidR="00053C8B">
        <w:fldChar w:fldCharType="begin"/>
      </w:r>
      <w:r w:rsidR="00053C8B">
        <w:instrText xml:space="preserve"> REF _Ref471120736 \r \h </w:instrText>
      </w:r>
      <w:r w:rsidR="00053C8B">
        <w:fldChar w:fldCharType="separate"/>
      </w:r>
      <w:r w:rsidR="00053C8B">
        <w:t>[1]</w:t>
      </w:r>
      <w:r w:rsidR="00053C8B">
        <w:fldChar w:fldCharType="end"/>
      </w:r>
      <w:r w:rsidR="00053C8B">
        <w:t xml:space="preserve">, </w:t>
      </w:r>
      <w:proofErr w:type="spellStart"/>
      <w:r w:rsidR="00053C8B">
        <w:t>i.a</w:t>
      </w:r>
      <w:proofErr w:type="spellEnd"/>
      <w:r w:rsidR="00053C8B">
        <w:t>, discusses the new aspects of the communication channels that become relevant for frequencies higher than 6 GHz. One</w:t>
      </w:r>
      <w:r w:rsidR="00164C48">
        <w:t xml:space="preserve"> of such aspects, </w:t>
      </w:r>
      <w:r w:rsidR="008D74B5">
        <w:t>impacting</w:t>
      </w:r>
      <w:r w:rsidR="00164C48">
        <w:t xml:space="preserve"> the potential performance of 5G systems </w:t>
      </w:r>
      <w:r w:rsidR="00E944AC">
        <w:t xml:space="preserve">especially </w:t>
      </w:r>
      <w:r w:rsidR="00164C48">
        <w:t xml:space="preserve">in </w:t>
      </w:r>
      <w:r w:rsidR="00E944AC">
        <w:t xml:space="preserve">higher </w:t>
      </w:r>
      <w:r w:rsidR="00164C48">
        <w:t xml:space="preserve">bands, is blockage of a transmission by surrounding objects. </w:t>
      </w:r>
      <w:r w:rsidR="006032F6">
        <w:t xml:space="preserve">In this contribution we discuss </w:t>
      </w:r>
      <w:r w:rsidR="00DB38B3">
        <w:t xml:space="preserve">Blockage </w:t>
      </w:r>
      <w:r w:rsidR="006032F6">
        <w:t xml:space="preserve">Model B </w:t>
      </w:r>
      <w:r w:rsidR="00DB38B3">
        <w:t>from</w:t>
      </w:r>
      <w:r w:rsidR="006032F6">
        <w:t xml:space="preserve"> the </w:t>
      </w:r>
      <w:r w:rsidR="009F410A">
        <w:t>TR</w:t>
      </w:r>
      <w:r w:rsidR="00DB38B3">
        <w:t xml:space="preserve"> and</w:t>
      </w:r>
      <w:r w:rsidR="006032F6">
        <w:t xml:space="preserve"> </w:t>
      </w:r>
      <w:proofErr w:type="gramStart"/>
      <w:r w:rsidR="007967C6">
        <w:t>showcase</w:t>
      </w:r>
      <w:proofErr w:type="gramEnd"/>
      <w:r w:rsidR="006032F6">
        <w:t xml:space="preserve"> the results of </w:t>
      </w:r>
      <w:r w:rsidR="00DB38B3">
        <w:t>its testing for calibration purposes. Based on the above, we propose some improvements for the description of the model in the TR.</w:t>
      </w:r>
      <w:r w:rsidR="00575561">
        <w:t xml:space="preserve"> </w:t>
      </w:r>
      <w:r w:rsidR="00575561" w:rsidRPr="00575561">
        <w:t xml:space="preserve">The proposals in this </w:t>
      </w:r>
      <w:proofErr w:type="spellStart"/>
      <w:r w:rsidR="00575561" w:rsidRPr="00575561">
        <w:t>TDoc</w:t>
      </w:r>
      <w:proofErr w:type="spellEnd"/>
      <w:r w:rsidR="00575561" w:rsidRPr="00575561">
        <w:t xml:space="preserve"> have been implemented i</w:t>
      </w:r>
      <w:r w:rsidR="00575561">
        <w:t xml:space="preserve">n the draft CR in </w:t>
      </w:r>
      <w:r w:rsidR="00575561" w:rsidRPr="00B27A83">
        <w:t>R1-17</w:t>
      </w:r>
      <w:r w:rsidR="00B27A83" w:rsidRPr="00B27A83">
        <w:t>01165</w:t>
      </w:r>
      <w:r w:rsidR="008D74B5">
        <w:t xml:space="preserve"> </w:t>
      </w:r>
      <w:r w:rsidR="008D74B5">
        <w:fldChar w:fldCharType="begin"/>
      </w:r>
      <w:r w:rsidR="008D74B5">
        <w:instrText xml:space="preserve"> REF _Ref471730474 \r \h </w:instrText>
      </w:r>
      <w:r w:rsidR="008D74B5">
        <w:fldChar w:fldCharType="separate"/>
      </w:r>
      <w:r w:rsidR="008D74B5">
        <w:t>[2]</w:t>
      </w:r>
      <w:r w:rsidR="008D74B5">
        <w:fldChar w:fldCharType="end"/>
      </w:r>
      <w:r w:rsidR="008D74B5">
        <w:t xml:space="preserve">. </w:t>
      </w:r>
    </w:p>
    <w:p w14:paraId="0EA8962F" w14:textId="2BF191A7" w:rsidR="004000E8" w:rsidRDefault="00BD2D36" w:rsidP="00CE0424">
      <w:pPr>
        <w:pStyle w:val="Heading1"/>
      </w:pPr>
      <w:r>
        <w:t>Clarifications</w:t>
      </w:r>
    </w:p>
    <w:p w14:paraId="7496422B" w14:textId="77777777" w:rsidR="00DB38B3" w:rsidRDefault="00DB38B3" w:rsidP="003A0E41">
      <w:r>
        <w:t xml:space="preserve">Two models (Model A and Model B) of blockage have been proposed as add-on features for calibrations and feature testing in Section 7.6.4 of </w:t>
      </w:r>
      <w:r>
        <w:fldChar w:fldCharType="begin"/>
      </w:r>
      <w:r>
        <w:instrText xml:space="preserve"> REF _Ref471120736 \r \h </w:instrText>
      </w:r>
      <w:r>
        <w:fldChar w:fldCharType="separate"/>
      </w:r>
      <w:r>
        <w:t>[1]</w:t>
      </w:r>
      <w:r>
        <w:fldChar w:fldCharType="end"/>
      </w:r>
      <w:r>
        <w:t>. The corresponding modifications are suggested to be pasted between Step 9 and Step 10 of the channel generation procedure illustrated in Figure 7.6.4-1 therein. Model A serves as a computationally efficient modelling tool, whereas Model B is a more realistic full-scale alternative.</w:t>
      </w:r>
      <w:r w:rsidR="00943CD7">
        <w:t xml:space="preserve"> The latter is preferred when one is interested in conscious testing of features, making the corresponding simulations closer to reality.</w:t>
      </w:r>
    </w:p>
    <w:p w14:paraId="43755532" w14:textId="77777777" w:rsidR="0066210E" w:rsidRDefault="0066210E" w:rsidP="003A0E41">
      <w:r>
        <w:t xml:space="preserve">Modelling of blockage </w:t>
      </w:r>
      <w:proofErr w:type="gramStart"/>
      <w:r>
        <w:t>according to</w:t>
      </w:r>
      <w:proofErr w:type="gramEnd"/>
      <w:r>
        <w:t xml:space="preserve"> Model B, in a nutshell, comprises two steps: </w:t>
      </w:r>
    </w:p>
    <w:p w14:paraId="07523676" w14:textId="77777777" w:rsidR="00B35A1B" w:rsidRDefault="0066210E" w:rsidP="0066210E">
      <w:pPr>
        <w:pStyle w:val="ListParagraph"/>
        <w:numPr>
          <w:ilvl w:val="0"/>
          <w:numId w:val="18"/>
        </w:numPr>
      </w:pPr>
      <w:r>
        <w:t>Determine relevant blockers</w:t>
      </w:r>
      <w:r w:rsidR="00F25B6E">
        <w:t>,</w:t>
      </w:r>
    </w:p>
    <w:p w14:paraId="77FFF16E" w14:textId="77777777" w:rsidR="0066210E" w:rsidRDefault="0066210E" w:rsidP="0066210E">
      <w:pPr>
        <w:pStyle w:val="ListParagraph"/>
        <w:numPr>
          <w:ilvl w:val="0"/>
          <w:numId w:val="18"/>
        </w:numPr>
      </w:pPr>
      <w:r>
        <w:t>Determine the corresponding blockage attenuation</w:t>
      </w:r>
      <w:r w:rsidR="00F25B6E">
        <w:t>.</w:t>
      </w:r>
    </w:p>
    <w:p w14:paraId="30DDFB61" w14:textId="77777777" w:rsidR="0066210E" w:rsidRDefault="001B2928" w:rsidP="0066210E">
      <w:r>
        <w:t xml:space="preserve">When implementing the model in a simulator, a few issues may arise due to a slightly ambiguous description in the TR. </w:t>
      </w:r>
      <w:r w:rsidR="0066210E">
        <w:t>Below, we discuss the issues related to the implementation of the above steps.</w:t>
      </w:r>
    </w:p>
    <w:p w14:paraId="4F0179CD" w14:textId="77777777" w:rsidR="001B2928" w:rsidRDefault="001B2928" w:rsidP="001B2928">
      <w:pPr>
        <w:pStyle w:val="Observation"/>
      </w:pPr>
      <w:bookmarkStart w:id="0" w:name="_Toc471725962"/>
      <w:r>
        <w:t xml:space="preserve">There is ambiguity in the description of Blockage Model B in the TR which </w:t>
      </w:r>
      <w:r w:rsidR="0083056A">
        <w:t>should</w:t>
      </w:r>
      <w:r>
        <w:t xml:space="preserve"> be removed</w:t>
      </w:r>
      <w:r w:rsidR="00F10720">
        <w:t xml:space="preserve"> for </w:t>
      </w:r>
      <w:r w:rsidR="0083056A">
        <w:t xml:space="preserve">its </w:t>
      </w:r>
      <w:r w:rsidR="00F10720">
        <w:t>efficient implementation and calibration.</w:t>
      </w:r>
      <w:bookmarkEnd w:id="0"/>
    </w:p>
    <w:p w14:paraId="06AA84D8" w14:textId="77777777" w:rsidR="0066210E" w:rsidRDefault="008D0A39" w:rsidP="0066210E">
      <w:pPr>
        <w:pStyle w:val="Heading2"/>
      </w:pPr>
      <w:r>
        <w:t>Relevant blockers</w:t>
      </w:r>
    </w:p>
    <w:p w14:paraId="56B6FE00" w14:textId="77777777" w:rsidR="0066210E" w:rsidRDefault="0066210E" w:rsidP="0066210E">
      <w:r>
        <w:t xml:space="preserve">Since the blockage attenuation diminishes as the blocker moves away from the communicating parties, the first step above is mostly concerned with picking the (geographically) nearest </w:t>
      </w:r>
      <m:oMath>
        <m:r>
          <w:rPr>
            <w:rFonts w:ascii="Cambria Math" w:hAnsi="Cambria Math"/>
          </w:rPr>
          <m:t>K</m:t>
        </m:r>
      </m:oMath>
      <w:r>
        <w:t xml:space="preserve"> blockers and storing their locations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e>
        </m:d>
      </m:oMath>
      <w:r>
        <w:t xml:space="preserve">, as well as their physical height and width </w:t>
      </w:r>
      <m:oMath>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k</m:t>
                </m:r>
              </m:sub>
            </m:sSub>
          </m:e>
        </m:d>
      </m:oMath>
      <w:r>
        <w:t>.</w:t>
      </w:r>
    </w:p>
    <w:p w14:paraId="453B344B" w14:textId="77777777" w:rsidR="008D0A39" w:rsidRPr="008D0A39" w:rsidRDefault="008D0A39" w:rsidP="0066210E">
      <w:r>
        <w:t>The blockers per se are modelled as rectangular screens with scenario-dependent sizes suggested in Table 7.6.4.2-5. It is stated in</w:t>
      </w:r>
      <w:r w:rsidR="00F649FD">
        <w:t xml:space="preserve"> the TR</w:t>
      </w:r>
      <w:r>
        <w:t xml:space="preserve"> </w:t>
      </w:r>
      <w:r>
        <w:fldChar w:fldCharType="begin"/>
      </w:r>
      <w:r>
        <w:instrText xml:space="preserve"> REF _Ref471120736 \r \h </w:instrText>
      </w:r>
      <w:r>
        <w:fldChar w:fldCharType="separate"/>
      </w:r>
      <w:r>
        <w:t>[1]</w:t>
      </w:r>
      <w:r>
        <w:fldChar w:fldCharType="end"/>
      </w:r>
      <w:r>
        <w:t xml:space="preserve"> that the screens for each incoming ray should be </w:t>
      </w:r>
      <w:r w:rsidRPr="008D0A39">
        <w:rPr>
          <w:i/>
        </w:rPr>
        <w:t xml:space="preserve">“…rotated around its centre such that the arrival direction of </w:t>
      </w:r>
      <w:r w:rsidRPr="008D0A39">
        <w:rPr>
          <w:rFonts w:hint="eastAsia"/>
          <w:i/>
          <w:lang w:eastAsia="ko-KR"/>
        </w:rPr>
        <w:t xml:space="preserve">the corresponding path </w:t>
      </w:r>
      <w:r w:rsidRPr="008D0A39">
        <w:rPr>
          <w:i/>
        </w:rPr>
        <w:t xml:space="preserve">is </w:t>
      </w:r>
      <w:r w:rsidRPr="008D0A39">
        <w:rPr>
          <w:rFonts w:hint="eastAsia"/>
          <w:i/>
        </w:rPr>
        <w:t xml:space="preserve">always </w:t>
      </w:r>
      <w:r w:rsidRPr="008D0A39">
        <w:rPr>
          <w:i/>
        </w:rPr>
        <w:t>perpendicular to the screen.</w:t>
      </w:r>
      <w:r>
        <w:rPr>
          <w:i/>
        </w:rPr>
        <w:t xml:space="preserve">” </w:t>
      </w:r>
      <w:r>
        <w:t>However, such a description might be ambiguous as it allows for a rotation of the screen around the incoming ray axis. To fix the problem we propose the following.</w:t>
      </w:r>
    </w:p>
    <w:p w14:paraId="0B52097A" w14:textId="4D21D9E1" w:rsidR="00D311D7" w:rsidRDefault="00736B8E" w:rsidP="008D0A39">
      <w:pPr>
        <w:pStyle w:val="Proposal"/>
      </w:pPr>
      <w:bookmarkStart w:id="1" w:name="_Toc471488913"/>
      <w:bookmarkStart w:id="2" w:name="_Toc471725955"/>
      <w:bookmarkStart w:id="3" w:name="_Toc471729788"/>
      <w:r>
        <w:t>Add to</w:t>
      </w:r>
      <w:r w:rsidR="00A432FA">
        <w:t xml:space="preserve"> the description </w:t>
      </w:r>
      <w:r w:rsidR="008D0A39">
        <w:t xml:space="preserve">that each screen is </w:t>
      </w:r>
      <w:r w:rsidR="00205E87">
        <w:t>“…</w:t>
      </w:r>
      <w:r w:rsidR="00205E87" w:rsidRPr="00205E87">
        <w:t xml:space="preserve">rotated around its centre such that the arrival direction of </w:t>
      </w:r>
      <w:r w:rsidR="00205E87" w:rsidRPr="00205E87">
        <w:rPr>
          <w:rFonts w:hint="eastAsia"/>
          <w:lang w:eastAsia="ko-KR"/>
        </w:rPr>
        <w:t xml:space="preserve">the corresponding path </w:t>
      </w:r>
      <w:r w:rsidR="00205E87" w:rsidRPr="00205E87">
        <w:t xml:space="preserve">is </w:t>
      </w:r>
      <w:r w:rsidR="00205E87" w:rsidRPr="00205E87">
        <w:rPr>
          <w:rFonts w:hint="eastAsia"/>
        </w:rPr>
        <w:t xml:space="preserve">always </w:t>
      </w:r>
      <w:r w:rsidR="00205E87" w:rsidRPr="00205E87">
        <w:t>perpendicular to the screen</w:t>
      </w:r>
      <w:r w:rsidR="00205E87" w:rsidRPr="00A432FA">
        <w:rPr>
          <w:u w:val="single"/>
        </w:rPr>
        <w:t xml:space="preserve">, and the base </w:t>
      </w:r>
      <w:r w:rsidR="004F69C1">
        <w:rPr>
          <w:u w:val="single"/>
        </w:rPr>
        <w:t xml:space="preserve">and top </w:t>
      </w:r>
      <w:r w:rsidR="00205E87" w:rsidRPr="00A432FA">
        <w:rPr>
          <w:u w:val="single"/>
        </w:rPr>
        <w:t>edge</w:t>
      </w:r>
      <w:r w:rsidR="004F69C1">
        <w:rPr>
          <w:u w:val="single"/>
        </w:rPr>
        <w:t>s</w:t>
      </w:r>
      <w:r w:rsidR="00205E87" w:rsidRPr="00A432FA">
        <w:rPr>
          <w:u w:val="single"/>
        </w:rPr>
        <w:t xml:space="preserve"> of the screen </w:t>
      </w:r>
      <w:r w:rsidR="004F69C1">
        <w:rPr>
          <w:u w:val="single"/>
        </w:rPr>
        <w:t>are</w:t>
      </w:r>
      <w:r w:rsidR="00205E87" w:rsidRPr="00A432FA">
        <w:rPr>
          <w:u w:val="single"/>
        </w:rPr>
        <w:t xml:space="preserve"> parallel to the </w:t>
      </w:r>
      <w:r w:rsidR="004F69C1">
        <w:rPr>
          <w:u w:val="single"/>
        </w:rPr>
        <w:t xml:space="preserve">horizontal </w:t>
      </w:r>
      <w:r w:rsidR="00205E87" w:rsidRPr="00A432FA">
        <w:rPr>
          <w:u w:val="single"/>
        </w:rPr>
        <w:t>ground</w:t>
      </w:r>
      <w:r w:rsidR="004F69C1">
        <w:rPr>
          <w:u w:val="single"/>
        </w:rPr>
        <w:t xml:space="preserve"> plane</w:t>
      </w:r>
      <w:r w:rsidR="00205E87">
        <w:t>”</w:t>
      </w:r>
      <w:bookmarkEnd w:id="1"/>
      <w:bookmarkEnd w:id="2"/>
      <w:bookmarkEnd w:id="3"/>
    </w:p>
    <w:p w14:paraId="654233D5" w14:textId="77777777" w:rsidR="00A432FA" w:rsidRDefault="00A432FA" w:rsidP="00A432FA">
      <w:pPr>
        <w:pStyle w:val="Heading2"/>
      </w:pPr>
      <w:r>
        <w:t>Blockage attenuation</w:t>
      </w:r>
    </w:p>
    <w:p w14:paraId="37CB5A28" w14:textId="108E18F5" w:rsidR="00A432FA" w:rsidRDefault="00A432FA" w:rsidP="00A432FA">
      <w:r>
        <w:t>The title of Step b mentions blockage attenuation per cluster, whereas later in the description it is mentioned that</w:t>
      </w:r>
      <w:r w:rsidRPr="00A432FA">
        <w:rPr>
          <w:i/>
        </w:rPr>
        <w:t xml:space="preserve"> “…different rotations are required for </w:t>
      </w:r>
      <w:r w:rsidRPr="00A432FA">
        <w:rPr>
          <w:rFonts w:hint="eastAsia"/>
          <w:i/>
          <w:lang w:eastAsia="ko-KR"/>
        </w:rPr>
        <w:t>each individual sub-</w:t>
      </w:r>
      <w:r w:rsidRPr="00A432FA">
        <w:rPr>
          <w:i/>
        </w:rPr>
        <w:t>path”.</w:t>
      </w:r>
      <w:r>
        <w:t xml:space="preserve"> Therefore, the blockage instead better be specified for a given sub-path. </w:t>
      </w:r>
    </w:p>
    <w:p w14:paraId="0F4E79F7" w14:textId="77777777" w:rsidR="00A432FA" w:rsidRDefault="00A432FA" w:rsidP="00A432FA">
      <w:pPr>
        <w:pStyle w:val="Proposal"/>
      </w:pPr>
      <w:bookmarkStart w:id="4" w:name="_Toc471488914"/>
      <w:bookmarkStart w:id="5" w:name="_Toc471725956"/>
      <w:bookmarkStart w:id="6" w:name="_Toc471729789"/>
      <w:r>
        <w:lastRenderedPageBreak/>
        <w:t xml:space="preserve">Rename Step b in Section 7.6.4.2 to </w:t>
      </w:r>
      <w:r w:rsidRPr="00736B8E">
        <w:rPr>
          <w:u w:val="single"/>
        </w:rPr>
        <w:t>“Determine the blockage attenuation per sub-path”</w:t>
      </w:r>
      <w:bookmarkEnd w:id="4"/>
      <w:bookmarkEnd w:id="5"/>
      <w:bookmarkEnd w:id="6"/>
    </w:p>
    <w:p w14:paraId="50A9AC81" w14:textId="77777777" w:rsidR="00A432FA" w:rsidRDefault="00736B8E" w:rsidP="00A432FA">
      <w:r>
        <w:t xml:space="preserve">The above proposal yields that the knife-edge diffraction loss  </w:t>
      </w:r>
      <m:oMath>
        <m:sSub>
          <m:sSubPr>
            <m:ctrlPr>
              <w:rPr>
                <w:rFonts w:ascii="Cambria Math" w:hAnsi="Cambria Math"/>
                <w:i/>
              </w:rPr>
            </m:ctrlPr>
          </m:sSubPr>
          <m:e>
            <m:r>
              <w:rPr>
                <w:rFonts w:ascii="Cambria Math" w:hAnsi="Cambria Math"/>
              </w:rPr>
              <m:t>L</m:t>
            </m:r>
          </m:e>
          <m:sub>
            <m:r>
              <w:rPr>
                <w:rFonts w:ascii="Cambria Math" w:hAnsi="Cambria Math"/>
              </w:rPr>
              <m:t>dB</m:t>
            </m:r>
          </m:sub>
        </m:sSub>
      </m:oMath>
      <w:r>
        <w:t xml:space="preserve"> is specified per cluster </w:t>
      </w:r>
      <m:oMath>
        <m:r>
          <w:rPr>
            <w:rFonts w:ascii="Cambria Math" w:hAnsi="Cambria Math"/>
          </w:rPr>
          <m:t>n</m:t>
        </m:r>
      </m:oMath>
      <w:r>
        <w:t xml:space="preserve"> and sub-path </w:t>
      </w:r>
      <m:oMath>
        <m:r>
          <w:rPr>
            <w:rFonts w:ascii="Cambria Math" w:hAnsi="Cambria Math"/>
          </w:rPr>
          <m:t>m</m:t>
        </m:r>
      </m:oMath>
      <w:r>
        <w:t xml:space="preserve">, so that </w:t>
      </w:r>
      <w:r w:rsidR="007E0C80">
        <w:t xml:space="preserve">the corresponding formula can be (optionally) accompanied by </w:t>
      </w:r>
      <w:r>
        <w:t>the indices, e.g.,</w:t>
      </w:r>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dB,n,m</m:t>
            </m:r>
          </m:sub>
        </m:sSub>
      </m:oMath>
      <w:r>
        <w:t>.</w:t>
      </w:r>
    </w:p>
    <w:p w14:paraId="184BBE69" w14:textId="77777777" w:rsidR="00736B8E" w:rsidRDefault="00F25B6E" w:rsidP="00A432FA">
      <w:r>
        <w:t>C</w:t>
      </w:r>
      <w:r w:rsidR="00736B8E">
        <w:t xml:space="preserve">onsider </w:t>
      </w:r>
      <w:r>
        <w:t xml:space="preserve">next </w:t>
      </w:r>
      <w:r w:rsidR="00736B8E">
        <w:t xml:space="preserve">the edge-knife diffraction effect terms </w:t>
      </w:r>
      <m:oMath>
        <m:sSub>
          <m:sSubPr>
            <m:ctrlPr>
              <w:rPr>
                <w:rFonts w:ascii="Cambria Math" w:hAnsi="Cambria Math"/>
                <w:i/>
              </w:rPr>
            </m:ctrlPr>
          </m:sSubPr>
          <m:e>
            <m:r>
              <w:rPr>
                <w:rFonts w:ascii="Cambria Math" w:hAnsi="Cambria Math"/>
              </w:rPr>
              <m:t>F</m:t>
            </m:r>
          </m:e>
          <m:sub>
            <m:r>
              <w:rPr>
                <w:rFonts w:ascii="Cambria Math" w:hAnsi="Cambria Math"/>
              </w:rPr>
              <m:t>h</m:t>
            </m:r>
            <m:r>
              <w:rPr>
                <w:rFonts w:ascii="Cambria Math" w:hAnsi="Cambria Math"/>
              </w:rPr>
              <m:t>1</m:t>
            </m:r>
            <m:d>
              <m:dPr>
                <m:begChr m:val="|"/>
                <m:endChr m:val="|"/>
                <m:ctrlPr>
                  <w:rPr>
                    <w:rFonts w:ascii="Cambria Math" w:hAnsi="Cambria Math"/>
                    <w:i/>
                  </w:rPr>
                </m:ctrlPr>
              </m:dPr>
              <m:e>
                <m:r>
                  <w:rPr>
                    <w:rFonts w:ascii="Cambria Math" w:hAnsi="Cambria Math"/>
                  </w:rPr>
                  <m:t>h</m:t>
                </m:r>
                <m:r>
                  <w:rPr>
                    <w:rFonts w:ascii="Cambria Math" w:hAnsi="Cambria Math"/>
                  </w:rPr>
                  <m:t>2</m:t>
                </m:r>
              </m:e>
            </m:d>
            <m:r>
              <w:rPr>
                <w:rFonts w:ascii="Cambria Math" w:hAnsi="Cambria Math"/>
              </w:rPr>
              <m:t>w1|w2</m:t>
            </m:r>
          </m:sub>
        </m:sSub>
      </m:oMath>
      <w:r w:rsidR="00736B8E">
        <w:t xml:space="preserve">; several issues may arise when implementing these in a simulator. For instance, it is mentioned that </w:t>
      </w:r>
      <w:r w:rsidR="00771A82" w:rsidRPr="00771A82">
        <w:rPr>
          <w:i/>
        </w:rPr>
        <w:t>“[a</w:t>
      </w:r>
      <w:r w:rsidR="00771A82" w:rsidRPr="00771A82">
        <w:rPr>
          <w:i/>
          <w:szCs w:val="22"/>
        </w:rPr>
        <w:t>]</w:t>
      </w:r>
      <w:r w:rsidR="00736B8E" w:rsidRPr="00771A82">
        <w:rPr>
          <w:rFonts w:hint="eastAsia"/>
          <w:i/>
          <w:szCs w:val="22"/>
        </w:rPr>
        <w:t xml:space="preserve">s shown in </w:t>
      </w:r>
      <w:r w:rsidR="00736B8E" w:rsidRPr="00771A82">
        <w:rPr>
          <w:i/>
        </w:rPr>
        <w:t>Figure 7.6.4-2</w:t>
      </w:r>
      <w:r w:rsidR="00736B8E" w:rsidRPr="00771A82">
        <w:rPr>
          <w:rFonts w:hint="eastAsia"/>
          <w:i/>
        </w:rPr>
        <w:t xml:space="preserve">, </w:t>
      </w:r>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m:t>
            </m:r>
            <m:r>
              <w:rPr>
                <w:rFonts w:ascii="Cambria Math" w:hAnsi="Cambria Math"/>
                <w:szCs w:val="22"/>
              </w:rPr>
              <m:t>1</m:t>
            </m:r>
            <m:d>
              <m:dPr>
                <m:begChr m:val="|"/>
                <m:endChr m:val="|"/>
                <m:ctrlPr>
                  <w:rPr>
                    <w:rFonts w:ascii="Cambria Math" w:hAnsi="Cambria Math"/>
                    <w:i/>
                    <w:szCs w:val="22"/>
                  </w:rPr>
                </m:ctrlPr>
              </m:dPr>
              <m:e>
                <m:r>
                  <w:rPr>
                    <w:rFonts w:ascii="Cambria Math" w:hAnsi="Cambria Math"/>
                    <w:szCs w:val="22"/>
                  </w:rPr>
                  <m:t>h</m:t>
                </m:r>
                <m:r>
                  <w:rPr>
                    <w:rFonts w:ascii="Cambria Math" w:hAnsi="Cambria Math"/>
                    <w:szCs w:val="22"/>
                  </w:rPr>
                  <m:t>2</m:t>
                </m:r>
              </m:e>
            </m:d>
            <m:r>
              <w:rPr>
                <w:rFonts w:ascii="Cambria Math" w:hAnsi="Cambria Math"/>
                <w:szCs w:val="22"/>
              </w:rPr>
              <m:t>w1|w2</m:t>
            </m:r>
          </m:sub>
        </m:sSub>
      </m:oMath>
      <w:r w:rsidR="00736B8E" w:rsidRPr="00771A82">
        <w:rPr>
          <w:i/>
          <w:lang w:eastAsia="ko-KR"/>
        </w:rPr>
        <w:t xml:space="preserve"> are the projected distances between the receiver and four edges of the corresponding blocker</w:t>
      </w:r>
      <w:r w:rsidR="00736B8E" w:rsidRPr="00771A82">
        <w:rPr>
          <w:rFonts w:hint="eastAsia"/>
          <w:i/>
        </w:rPr>
        <w:t xml:space="preserve">, and </w:t>
      </w:r>
      <m:oMath>
        <m:sSub>
          <m:sSubPr>
            <m:ctrlPr>
              <w:rPr>
                <w:rFonts w:ascii="Cambria Math" w:hAnsi="Cambria Math"/>
                <w:i/>
                <w:szCs w:val="22"/>
              </w:rPr>
            </m:ctrlPr>
          </m:sSubPr>
          <m:e>
            <m:r>
              <w:rPr>
                <w:rFonts w:ascii="Cambria Math" w:hAnsi="Cambria Math"/>
                <w:szCs w:val="22"/>
              </w:rPr>
              <m:t>D2</m:t>
            </m:r>
          </m:e>
          <m:sub>
            <m:r>
              <w:rPr>
                <w:rFonts w:ascii="Cambria Math" w:hAnsi="Cambria Math"/>
                <w:szCs w:val="22"/>
              </w:rPr>
              <m:t>h</m:t>
            </m:r>
            <m:r>
              <w:rPr>
                <w:rFonts w:ascii="Cambria Math" w:hAnsi="Cambria Math"/>
                <w:szCs w:val="22"/>
              </w:rPr>
              <m:t>1</m:t>
            </m:r>
            <m:d>
              <m:dPr>
                <m:begChr m:val="|"/>
                <m:endChr m:val="|"/>
                <m:ctrlPr>
                  <w:rPr>
                    <w:rFonts w:ascii="Cambria Math" w:hAnsi="Cambria Math"/>
                    <w:i/>
                    <w:szCs w:val="22"/>
                  </w:rPr>
                </m:ctrlPr>
              </m:dPr>
              <m:e>
                <m:r>
                  <w:rPr>
                    <w:rFonts w:ascii="Cambria Math" w:hAnsi="Cambria Math"/>
                    <w:szCs w:val="22"/>
                  </w:rPr>
                  <m:t>h</m:t>
                </m:r>
                <m:r>
                  <w:rPr>
                    <w:rFonts w:ascii="Cambria Math" w:hAnsi="Cambria Math"/>
                    <w:szCs w:val="22"/>
                  </w:rPr>
                  <m:t>2</m:t>
                </m:r>
              </m:e>
            </m:d>
            <m:r>
              <w:rPr>
                <w:rFonts w:ascii="Cambria Math" w:hAnsi="Cambria Math"/>
                <w:szCs w:val="22"/>
              </w:rPr>
              <m:t>w1|w2</m:t>
            </m:r>
          </m:sub>
        </m:sSub>
        <m:r>
          <w:rPr>
            <w:rFonts w:ascii="Cambria Math" w:hAnsi="Cambria Math"/>
            <w:szCs w:val="22"/>
          </w:rPr>
          <m:t xml:space="preserve"> </m:t>
        </m:r>
      </m:oMath>
      <w:r w:rsidR="00736B8E" w:rsidRPr="00771A82">
        <w:rPr>
          <w:i/>
          <w:lang w:eastAsia="ko-KR"/>
        </w:rPr>
        <w:t xml:space="preserve">are the projected distances between the </w:t>
      </w:r>
      <w:r w:rsidR="00736B8E" w:rsidRPr="00771A82">
        <w:rPr>
          <w:rFonts w:hint="eastAsia"/>
          <w:i/>
        </w:rPr>
        <w:t>transmitter</w:t>
      </w:r>
      <w:r w:rsidR="00736B8E" w:rsidRPr="00771A82">
        <w:rPr>
          <w:i/>
          <w:lang w:eastAsia="ko-KR"/>
        </w:rPr>
        <w:t xml:space="preserve"> and four edges of the corresponding blocker</w:t>
      </w:r>
      <w:r w:rsidR="00771A82" w:rsidRPr="00771A82">
        <w:rPr>
          <w:i/>
          <w:lang w:eastAsia="ko-KR"/>
        </w:rPr>
        <w:t>”</w:t>
      </w:r>
      <w:r w:rsidR="00736B8E" w:rsidRPr="00641AA3">
        <w:rPr>
          <w:rFonts w:hint="eastAsia"/>
        </w:rPr>
        <w:t xml:space="preserve">. </w:t>
      </w:r>
      <w:r w:rsidR="00771A82">
        <w:t>However, it is not</w:t>
      </w:r>
      <w:r w:rsidR="00736B8E" w:rsidRPr="00641AA3">
        <w:rPr>
          <w:rFonts w:hint="eastAsia"/>
        </w:rPr>
        <w:t xml:space="preserve"> </w:t>
      </w:r>
      <w:r w:rsidR="00771A82">
        <w:t>specified onto what should these distances be projected. From the figure it is intuitively clear that it is meant that the projections are related to the top and side views. At the same time, the view planes are not defined, and those are not trivially planes parallel to the ground. Instead, those are the planes defined by the direction of arrival (</w:t>
      </w:r>
      <w:proofErr w:type="spellStart"/>
      <w:r w:rsidR="00771A82">
        <w:t>DoA</w:t>
      </w:r>
      <w:proofErr w:type="spellEnd"/>
      <w:r w:rsidR="00771A82">
        <w:t>) of an incoming ray (sub-path) and by the ground plane. Therefore, we propose the following.</w:t>
      </w:r>
    </w:p>
    <w:p w14:paraId="2CD48B0D" w14:textId="7BD79DD8" w:rsidR="00771A82" w:rsidRDefault="00771A82" w:rsidP="00771A82">
      <w:pPr>
        <w:pStyle w:val="Proposal"/>
      </w:pPr>
      <w:bookmarkStart w:id="7" w:name="_Toc471488915"/>
      <w:bookmarkStart w:id="8" w:name="_Toc471725957"/>
      <w:bookmarkStart w:id="9" w:name="_Toc471729790"/>
      <w:r>
        <w:t xml:space="preserve">Define two </w:t>
      </w:r>
      <w:r w:rsidR="00D46293">
        <w:t xml:space="preserve">projection </w:t>
      </w:r>
      <w:r>
        <w:t>planes: (a) top view and (b) side view</w:t>
      </w:r>
      <w:r w:rsidR="00D46293">
        <w:t>, both perpendicular to the screen</w:t>
      </w:r>
      <w:r w:rsidR="0083550C">
        <w:t xml:space="preserve">. The </w:t>
      </w:r>
      <w:r w:rsidR="00D46293">
        <w:t>side</w:t>
      </w:r>
      <w:r w:rsidR="0083550C">
        <w:t xml:space="preserve"> view</w:t>
      </w:r>
      <w:r>
        <w:t xml:space="preserve"> plane </w:t>
      </w:r>
      <w:r w:rsidR="00D46293">
        <w:t xml:space="preserve">is </w:t>
      </w:r>
      <w:r w:rsidR="00E00989">
        <w:t xml:space="preserve">perpendicular to the </w:t>
      </w:r>
      <w:r w:rsidR="00D46293">
        <w:t xml:space="preserve">horizontal </w:t>
      </w:r>
      <w:r w:rsidR="00E00989">
        <w:t>ground plane</w:t>
      </w:r>
      <w:r w:rsidR="00D46293">
        <w:t>. The top</w:t>
      </w:r>
      <w:r w:rsidR="0083550C">
        <w:t xml:space="preserve"> view is perpendicular to the </w:t>
      </w:r>
      <w:r w:rsidR="00D46293">
        <w:t>side</w:t>
      </w:r>
      <w:r w:rsidR="0083550C">
        <w:t xml:space="preserve"> view.</w:t>
      </w:r>
      <w:r w:rsidR="00B26513">
        <w:t xml:space="preserve"> </w:t>
      </w:r>
      <w:r w:rsidR="00B26513" w:rsidRPr="00B26513">
        <w:t>Add</w:t>
      </w:r>
      <w:r w:rsidR="007C77E1">
        <w:t xml:space="preserve"> to the </w:t>
      </w:r>
      <w:r w:rsidR="00DB49F3">
        <w:t xml:space="preserve">TR </w:t>
      </w:r>
      <w:r w:rsidR="007C77E1">
        <w:t>text</w:t>
      </w:r>
      <w:r w:rsidR="00B26513" w:rsidRPr="00B26513">
        <w:t xml:space="preserve"> “…[a</w:t>
      </w:r>
      <w:r w:rsidR="00B26513" w:rsidRPr="00B26513">
        <w:rPr>
          <w:szCs w:val="22"/>
        </w:rPr>
        <w:t>]</w:t>
      </w:r>
      <w:r w:rsidR="00B26513" w:rsidRPr="00B26513">
        <w:rPr>
          <w:rFonts w:hint="eastAsia"/>
          <w:szCs w:val="22"/>
        </w:rPr>
        <w:t xml:space="preserve">s shown in </w:t>
      </w:r>
      <w:r w:rsidR="00B26513" w:rsidRPr="00B26513">
        <w:t>Figure 7.6.4-2</w:t>
      </w:r>
      <w:r w:rsidR="00B26513" w:rsidRPr="00B26513">
        <w:rPr>
          <w:rFonts w:hint="eastAsia"/>
        </w:rPr>
        <w:t xml:space="preserve">, </w:t>
      </w:r>
      <m:oMath>
        <m:sSub>
          <m:sSubPr>
            <m:ctrlPr>
              <w:rPr>
                <w:rFonts w:ascii="Cambria Math" w:hAnsi="Cambria Math"/>
                <w:szCs w:val="22"/>
              </w:rPr>
            </m:ctrlPr>
          </m:sSubPr>
          <m:e>
            <m:r>
              <m:rPr>
                <m:sty m:val="b"/>
              </m:rPr>
              <w:rPr>
                <w:rFonts w:ascii="Cambria Math" w:hAnsi="Cambria Math"/>
                <w:szCs w:val="22"/>
              </w:rPr>
              <m:t>D1</m:t>
            </m:r>
          </m:e>
          <m:sub>
            <m:r>
              <m:rPr>
                <m:sty m:val="b"/>
              </m:rPr>
              <w:rPr>
                <w:rFonts w:ascii="Cambria Math" w:hAnsi="Cambria Math"/>
                <w:szCs w:val="22"/>
              </w:rPr>
              <m:t>h1</m:t>
            </m:r>
            <m:d>
              <m:dPr>
                <m:begChr m:val="|"/>
                <m:endChr m:val="|"/>
                <m:ctrlPr>
                  <w:rPr>
                    <w:rFonts w:ascii="Cambria Math" w:hAnsi="Cambria Math"/>
                    <w:szCs w:val="22"/>
                  </w:rPr>
                </m:ctrlPr>
              </m:dPr>
              <m:e>
                <m:r>
                  <m:rPr>
                    <m:sty m:val="b"/>
                  </m:rPr>
                  <w:rPr>
                    <w:rFonts w:ascii="Cambria Math" w:hAnsi="Cambria Math"/>
                    <w:szCs w:val="22"/>
                  </w:rPr>
                  <m:t>h2</m:t>
                </m:r>
              </m:e>
            </m:d>
            <m:r>
              <m:rPr>
                <m:sty m:val="b"/>
              </m:rPr>
              <w:rPr>
                <w:rFonts w:ascii="Cambria Math" w:hAnsi="Cambria Math"/>
                <w:szCs w:val="22"/>
              </w:rPr>
              <m:t>w1|w2</m:t>
            </m:r>
          </m:sub>
        </m:sSub>
      </m:oMath>
      <w:r w:rsidR="00B26513" w:rsidRPr="00B26513">
        <w:rPr>
          <w:lang w:eastAsia="ko-KR"/>
        </w:rPr>
        <w:t xml:space="preserve"> are the projected </w:t>
      </w:r>
      <w:r w:rsidR="00B26513" w:rsidRPr="00B26513">
        <w:rPr>
          <w:u w:val="single"/>
          <w:lang w:eastAsia="ko-KR"/>
        </w:rPr>
        <w:t>(on</w:t>
      </w:r>
      <w:r w:rsidR="00B26513">
        <w:rPr>
          <w:u w:val="single"/>
          <w:lang w:eastAsia="ko-KR"/>
        </w:rPr>
        <w:t>to the</w:t>
      </w:r>
      <w:r w:rsidR="00B26513" w:rsidRPr="00B26513">
        <w:rPr>
          <w:u w:val="single"/>
          <w:lang w:eastAsia="ko-KR"/>
        </w:rPr>
        <w:t xml:space="preserve"> top and side view planes)</w:t>
      </w:r>
      <w:r w:rsidR="00B26513">
        <w:rPr>
          <w:lang w:eastAsia="ko-KR"/>
        </w:rPr>
        <w:t xml:space="preserve"> </w:t>
      </w:r>
      <w:r w:rsidR="00B26513" w:rsidRPr="00B26513">
        <w:rPr>
          <w:lang w:eastAsia="ko-KR"/>
        </w:rPr>
        <w:t>distances between the receiver and four edges of the corresponding blocker</w:t>
      </w:r>
      <w:r w:rsidR="00B26513" w:rsidRPr="00B26513">
        <w:rPr>
          <w:rFonts w:hint="eastAsia"/>
        </w:rPr>
        <w:t xml:space="preserve">, and </w:t>
      </w:r>
      <m:oMath>
        <m:sSub>
          <m:sSubPr>
            <m:ctrlPr>
              <w:rPr>
                <w:rFonts w:ascii="Cambria Math" w:hAnsi="Cambria Math"/>
                <w:szCs w:val="22"/>
              </w:rPr>
            </m:ctrlPr>
          </m:sSubPr>
          <m:e>
            <m:r>
              <m:rPr>
                <m:sty m:val="b"/>
              </m:rPr>
              <w:rPr>
                <w:rFonts w:ascii="Cambria Math" w:hAnsi="Cambria Math"/>
                <w:szCs w:val="22"/>
              </w:rPr>
              <m:t>D2</m:t>
            </m:r>
          </m:e>
          <m:sub>
            <m:r>
              <m:rPr>
                <m:sty m:val="b"/>
              </m:rPr>
              <w:rPr>
                <w:rFonts w:ascii="Cambria Math" w:hAnsi="Cambria Math"/>
                <w:szCs w:val="22"/>
              </w:rPr>
              <m:t>h1</m:t>
            </m:r>
            <m:d>
              <m:dPr>
                <m:begChr m:val="|"/>
                <m:endChr m:val="|"/>
                <m:ctrlPr>
                  <w:rPr>
                    <w:rFonts w:ascii="Cambria Math" w:hAnsi="Cambria Math"/>
                    <w:szCs w:val="22"/>
                  </w:rPr>
                </m:ctrlPr>
              </m:dPr>
              <m:e>
                <m:r>
                  <m:rPr>
                    <m:sty m:val="b"/>
                  </m:rPr>
                  <w:rPr>
                    <w:rFonts w:ascii="Cambria Math" w:hAnsi="Cambria Math"/>
                    <w:szCs w:val="22"/>
                  </w:rPr>
                  <m:t>h2</m:t>
                </m:r>
              </m:e>
            </m:d>
            <m:r>
              <m:rPr>
                <m:sty m:val="b"/>
              </m:rPr>
              <w:rPr>
                <w:rFonts w:ascii="Cambria Math" w:hAnsi="Cambria Math"/>
                <w:szCs w:val="22"/>
              </w:rPr>
              <m:t>w1|w2</m:t>
            </m:r>
          </m:sub>
        </m:sSub>
        <m:r>
          <m:rPr>
            <m:sty m:val="b"/>
          </m:rPr>
          <w:rPr>
            <w:rFonts w:ascii="Cambria Math" w:hAnsi="Cambria Math"/>
            <w:szCs w:val="22"/>
          </w:rPr>
          <m:t xml:space="preserve"> </m:t>
        </m:r>
      </m:oMath>
      <w:r w:rsidR="00B26513" w:rsidRPr="00B26513">
        <w:rPr>
          <w:lang w:eastAsia="ko-KR"/>
        </w:rPr>
        <w:t xml:space="preserve">are the projected distances </w:t>
      </w:r>
      <w:r w:rsidR="00B26513" w:rsidRPr="00B26513">
        <w:rPr>
          <w:u w:val="single"/>
          <w:lang w:eastAsia="ko-KR"/>
        </w:rPr>
        <w:t>(on</w:t>
      </w:r>
      <w:r w:rsidR="00B26513">
        <w:rPr>
          <w:u w:val="single"/>
          <w:lang w:eastAsia="ko-KR"/>
        </w:rPr>
        <w:t>to the</w:t>
      </w:r>
      <w:r w:rsidR="00B26513" w:rsidRPr="00B26513">
        <w:rPr>
          <w:u w:val="single"/>
          <w:lang w:eastAsia="ko-KR"/>
        </w:rPr>
        <w:t xml:space="preserve"> top and side view planes)</w:t>
      </w:r>
      <w:r w:rsidR="00B26513">
        <w:rPr>
          <w:lang w:eastAsia="ko-KR"/>
        </w:rPr>
        <w:t xml:space="preserve"> b</w:t>
      </w:r>
      <w:r w:rsidR="00B26513" w:rsidRPr="00B26513">
        <w:rPr>
          <w:lang w:eastAsia="ko-KR"/>
        </w:rPr>
        <w:t xml:space="preserve">etween the </w:t>
      </w:r>
      <w:r w:rsidR="00B26513" w:rsidRPr="00B26513">
        <w:rPr>
          <w:rFonts w:hint="eastAsia"/>
        </w:rPr>
        <w:t>transmitter</w:t>
      </w:r>
      <w:r w:rsidR="00B26513" w:rsidRPr="00B26513">
        <w:rPr>
          <w:lang w:eastAsia="ko-KR"/>
        </w:rPr>
        <w:t xml:space="preserve"> and four edges of the corresponding blocker</w:t>
      </w:r>
      <w:r w:rsidR="00B26513" w:rsidRPr="00B26513">
        <w:t>”</w:t>
      </w:r>
      <w:bookmarkEnd w:id="7"/>
      <w:bookmarkEnd w:id="8"/>
      <w:bookmarkEnd w:id="9"/>
    </w:p>
    <w:p w14:paraId="70E74172" w14:textId="2462B198" w:rsidR="00771A82" w:rsidRDefault="001B2928" w:rsidP="00A432FA">
      <w:r>
        <w:t xml:space="preserve">Next, it is mentioned </w:t>
      </w:r>
      <w:r w:rsidR="00F25B6E">
        <w:t xml:space="preserve">in the same paragraph </w:t>
      </w:r>
      <w:r>
        <w:t xml:space="preserve">that </w:t>
      </w:r>
      <w:r w:rsidR="00F25B6E" w:rsidRPr="00F25B6E">
        <w:rPr>
          <w:i/>
        </w:rPr>
        <w:t xml:space="preserve">“…r </w:t>
      </w:r>
      <w:r w:rsidR="00F25B6E" w:rsidRPr="00F25B6E">
        <w:rPr>
          <w:i/>
          <w:lang w:eastAsia="ko-KR"/>
        </w:rPr>
        <w:t xml:space="preserve">is the distance </w:t>
      </w:r>
      <w:r w:rsidR="00F25B6E" w:rsidRPr="00F25B6E">
        <w:rPr>
          <w:rFonts w:hint="eastAsia"/>
          <w:i/>
        </w:rPr>
        <w:t>between the transmitter and receiver for direct path in LOS, and is the distance between the blocker screen and</w:t>
      </w:r>
      <w:r w:rsidR="00F25B6E" w:rsidRPr="00F25B6E">
        <w:rPr>
          <w:i/>
          <w:lang w:eastAsia="ko-KR"/>
        </w:rPr>
        <w:t xml:space="preserve"> receiver</w:t>
      </w:r>
      <w:r w:rsidR="00F25B6E" w:rsidRPr="00F25B6E">
        <w:rPr>
          <w:rFonts w:hint="eastAsia"/>
          <w:i/>
        </w:rPr>
        <w:t xml:space="preserve"> for all </w:t>
      </w:r>
      <w:r w:rsidR="00F25B6E" w:rsidRPr="00F25B6E">
        <w:rPr>
          <w:rFonts w:hint="eastAsia"/>
          <w:i/>
          <w:lang w:eastAsia="ko-KR"/>
        </w:rPr>
        <w:t xml:space="preserve">the </w:t>
      </w:r>
      <w:r w:rsidR="00F25B6E" w:rsidRPr="00F25B6E">
        <w:rPr>
          <w:rFonts w:hint="eastAsia"/>
          <w:i/>
        </w:rPr>
        <w:t>other paths</w:t>
      </w:r>
      <w:r w:rsidR="00F25B6E" w:rsidRPr="00F25B6E">
        <w:rPr>
          <w:i/>
        </w:rPr>
        <w:t>”</w:t>
      </w:r>
      <w:r w:rsidR="00F25B6E">
        <w:t>. It is true that in the line-of-sight (</w:t>
      </w:r>
      <w:proofErr w:type="spellStart"/>
      <w:r w:rsidR="00F25B6E">
        <w:t>LoS</w:t>
      </w:r>
      <w:proofErr w:type="spellEnd"/>
      <w:r w:rsidR="00F25B6E">
        <w:t xml:space="preserve">) case the distance between the transmitter and the receiver can be </w:t>
      </w:r>
      <w:r w:rsidR="00D46293">
        <w:t xml:space="preserve">immediately </w:t>
      </w:r>
      <w:r w:rsidR="00F25B6E">
        <w:t>used for computations</w:t>
      </w:r>
      <w:r w:rsidR="007967C6">
        <w:t xml:space="preserve"> (</w:t>
      </w:r>
      <w:proofErr w:type="gramStart"/>
      <w:r w:rsidR="007967C6">
        <w:t>provided that</w:t>
      </w:r>
      <w:proofErr w:type="gramEnd"/>
      <w:r w:rsidR="007967C6">
        <w:t xml:space="preserve"> the incoming rays are adjusted accordingly, e.g., as described in Section 7.7.5.1 for the case of the fixed CDL model)</w:t>
      </w:r>
      <w:r w:rsidR="00F25B6E">
        <w:t>.</w:t>
      </w:r>
      <w:r w:rsidR="007967C6">
        <w:t xml:space="preserve"> In the non-</w:t>
      </w:r>
      <w:proofErr w:type="spellStart"/>
      <w:r w:rsidR="007967C6">
        <w:t>LoS</w:t>
      </w:r>
      <w:proofErr w:type="spellEnd"/>
      <w:r w:rsidR="007967C6">
        <w:t xml:space="preserve"> (</w:t>
      </w:r>
      <w:proofErr w:type="spellStart"/>
      <w:r w:rsidR="007967C6">
        <w:t>NLoS</w:t>
      </w:r>
      <w:proofErr w:type="spellEnd"/>
      <w:r w:rsidR="007967C6">
        <w:t xml:space="preserve">) case, however, the distance blocker-receiver must be projected onto the incoming </w:t>
      </w:r>
      <w:r w:rsidR="00D46293">
        <w:t>sub-path</w:t>
      </w:r>
      <w:r w:rsidR="007967C6">
        <w:t xml:space="preserve"> </w:t>
      </w:r>
      <w:proofErr w:type="spellStart"/>
      <w:r w:rsidR="007967C6">
        <w:t>DoA</w:t>
      </w:r>
      <w:proofErr w:type="spellEnd"/>
      <w:r w:rsidR="007967C6">
        <w:t>. Therefore, the following should be added.</w:t>
      </w:r>
    </w:p>
    <w:p w14:paraId="72C69671" w14:textId="65341953" w:rsidR="007967C6" w:rsidRDefault="007967C6" w:rsidP="007967C6">
      <w:pPr>
        <w:pStyle w:val="Proposal"/>
      </w:pPr>
      <w:bookmarkStart w:id="10" w:name="_Toc471488916"/>
      <w:bookmarkStart w:id="11" w:name="_Toc471725958"/>
      <w:bookmarkStart w:id="12" w:name="_Toc471729791"/>
      <w:r>
        <w:t xml:space="preserve">Add to the text </w:t>
      </w:r>
      <w:r w:rsidRPr="007967C6">
        <w:t xml:space="preserve">“…r </w:t>
      </w:r>
      <w:r w:rsidRPr="007967C6">
        <w:rPr>
          <w:lang w:eastAsia="ko-KR"/>
        </w:rPr>
        <w:t xml:space="preserve">is the distance </w:t>
      </w:r>
      <w:r w:rsidRPr="007967C6">
        <w:rPr>
          <w:rFonts w:hint="eastAsia"/>
        </w:rPr>
        <w:t xml:space="preserve">between the transmitter and receiver for direct path in LOS, and is </w:t>
      </w:r>
      <w:r w:rsidRPr="003A302F">
        <w:rPr>
          <w:rFonts w:hint="eastAsia"/>
          <w:u w:val="single"/>
        </w:rPr>
        <w:t xml:space="preserve">the </w:t>
      </w:r>
      <w:r w:rsidRPr="007967C6">
        <w:rPr>
          <w:u w:val="single"/>
        </w:rPr>
        <w:t>projection of</w:t>
      </w:r>
      <w:r>
        <w:t xml:space="preserve"> </w:t>
      </w:r>
      <w:r w:rsidR="003A302F">
        <w:t xml:space="preserve">the </w:t>
      </w:r>
      <w:r w:rsidRPr="007967C6">
        <w:rPr>
          <w:rFonts w:hint="eastAsia"/>
        </w:rPr>
        <w:t>distance between the blocker screen and</w:t>
      </w:r>
      <w:r w:rsidRPr="007967C6">
        <w:rPr>
          <w:lang w:eastAsia="ko-KR"/>
        </w:rPr>
        <w:t xml:space="preserve"> receiver</w:t>
      </w:r>
      <w:r w:rsidRPr="007967C6">
        <w:rPr>
          <w:rFonts w:hint="eastAsia"/>
        </w:rPr>
        <w:t xml:space="preserve"> </w:t>
      </w:r>
      <w:r w:rsidRPr="007967C6">
        <w:rPr>
          <w:u w:val="single"/>
        </w:rPr>
        <w:t xml:space="preserve">onto the incoming sub-path </w:t>
      </w:r>
      <w:proofErr w:type="spellStart"/>
      <w:r w:rsidRPr="007967C6">
        <w:rPr>
          <w:u w:val="single"/>
        </w:rPr>
        <w:t>DoA</w:t>
      </w:r>
      <w:proofErr w:type="spellEnd"/>
      <w:r>
        <w:t xml:space="preserve"> </w:t>
      </w:r>
      <w:r w:rsidRPr="007967C6">
        <w:rPr>
          <w:rFonts w:hint="eastAsia"/>
        </w:rPr>
        <w:t xml:space="preserve">for all </w:t>
      </w:r>
      <w:r w:rsidRPr="007967C6">
        <w:rPr>
          <w:rFonts w:hint="eastAsia"/>
          <w:lang w:eastAsia="ko-KR"/>
        </w:rPr>
        <w:t xml:space="preserve">the </w:t>
      </w:r>
      <w:r w:rsidRPr="007967C6">
        <w:rPr>
          <w:rFonts w:hint="eastAsia"/>
        </w:rPr>
        <w:t>other paths</w:t>
      </w:r>
      <w:r w:rsidRPr="007967C6">
        <w:t>”</w:t>
      </w:r>
      <w:bookmarkEnd w:id="10"/>
      <w:bookmarkEnd w:id="11"/>
      <w:bookmarkEnd w:id="12"/>
    </w:p>
    <w:p w14:paraId="478659C6" w14:textId="77777777" w:rsidR="003C22C1" w:rsidRDefault="007967C6" w:rsidP="00A432FA">
      <w:r>
        <w:t xml:space="preserve">A crucial change is necessary for the sign-determination rule that comes next in the TR </w:t>
      </w:r>
      <w:proofErr w:type="gramStart"/>
      <w:r>
        <w:t>in order to</w:t>
      </w:r>
      <w:proofErr w:type="gramEnd"/>
      <w:r>
        <w:t xml:space="preserve"> </w:t>
      </w:r>
      <w:r w:rsidR="00466E54">
        <w:t>avoid discontinuity and ensure spatial consistency of the blockage model. The main issue here lies in the fact that Figures 7.6.4.2-2(a) and 7.6.4.2-2(b)</w:t>
      </w:r>
      <w:r w:rsidR="003362B3">
        <w:t xml:space="preserve"> in </w:t>
      </w:r>
      <w:r w:rsidR="003362B3">
        <w:fldChar w:fldCharType="begin"/>
      </w:r>
      <w:r w:rsidR="003362B3">
        <w:instrText xml:space="preserve"> REF _Ref471120736 \r \h </w:instrText>
      </w:r>
      <w:r w:rsidR="003362B3">
        <w:fldChar w:fldCharType="separate"/>
      </w:r>
      <w:r w:rsidR="003362B3">
        <w:t>[1]</w:t>
      </w:r>
      <w:r w:rsidR="003362B3">
        <w:fldChar w:fldCharType="end"/>
      </w:r>
      <w:r w:rsidR="00466E54">
        <w:t xml:space="preserve">, used directly to determine the signs of arguments in the computation of the edge-knife diffraction effects </w:t>
      </w:r>
      <m:oMath>
        <m:sSub>
          <m:sSubPr>
            <m:ctrlPr>
              <w:rPr>
                <w:rFonts w:ascii="Cambria Math" w:hAnsi="Cambria Math"/>
                <w:i/>
              </w:rPr>
            </m:ctrlPr>
          </m:sSubPr>
          <m:e>
            <m:r>
              <w:rPr>
                <w:rFonts w:ascii="Cambria Math" w:hAnsi="Cambria Math"/>
              </w:rPr>
              <m:t>F</m:t>
            </m:r>
          </m:e>
          <m:sub>
            <m:r>
              <w:rPr>
                <w:rFonts w:ascii="Cambria Math" w:hAnsi="Cambria Math"/>
              </w:rPr>
              <m:t>h</m:t>
            </m:r>
            <m:r>
              <w:rPr>
                <w:rFonts w:ascii="Cambria Math" w:hAnsi="Cambria Math"/>
              </w:rPr>
              <m:t>1</m:t>
            </m:r>
            <m:d>
              <m:dPr>
                <m:begChr m:val="|"/>
                <m:endChr m:val="|"/>
                <m:ctrlPr>
                  <w:rPr>
                    <w:rFonts w:ascii="Cambria Math" w:hAnsi="Cambria Math"/>
                    <w:i/>
                  </w:rPr>
                </m:ctrlPr>
              </m:dPr>
              <m:e>
                <m:r>
                  <w:rPr>
                    <w:rFonts w:ascii="Cambria Math" w:hAnsi="Cambria Math"/>
                  </w:rPr>
                  <m:t>h</m:t>
                </m:r>
                <m:r>
                  <w:rPr>
                    <w:rFonts w:ascii="Cambria Math" w:hAnsi="Cambria Math"/>
                  </w:rPr>
                  <m:t>2</m:t>
                </m:r>
              </m:e>
            </m:d>
            <m:r>
              <w:rPr>
                <w:rFonts w:ascii="Cambria Math" w:hAnsi="Cambria Math"/>
              </w:rPr>
              <m:t>w1|w2</m:t>
            </m:r>
          </m:sub>
        </m:sSub>
      </m:oMath>
      <w:r w:rsidR="00885B14">
        <w:t xml:space="preserve">, do not list all the combinations of possible events. </w:t>
      </w:r>
    </w:p>
    <w:p w14:paraId="082EC9FD" w14:textId="097F7996" w:rsidR="007967C6" w:rsidRDefault="00DF65AB" w:rsidP="00A432FA">
      <w:pPr>
        <w:rPr>
          <w:szCs w:val="22"/>
        </w:rPr>
      </w:pPr>
      <w:r>
        <w:t>For instance, if the transmitter and receiver appear both behind a blocker on the same line, consider the situation where the receiver moves away from the blocker towards the transmitter</w:t>
      </w:r>
      <w:r w:rsidR="0029445E">
        <w:t xml:space="preserve"> (</w:t>
      </w:r>
      <w:r w:rsidR="00224450">
        <w:t>as depicted in</w:t>
      </w:r>
      <w:r w:rsidR="00771F94">
        <w:t xml:space="preserve"> </w:t>
      </w:r>
      <w:r w:rsidR="00771F94">
        <w:fldChar w:fldCharType="begin"/>
      </w:r>
      <w:r w:rsidR="00771F94">
        <w:instrText xml:space="preserve"> REF _Ref471129156 \h </w:instrText>
      </w:r>
      <w:r w:rsidR="00771F94">
        <w:fldChar w:fldCharType="separate"/>
      </w:r>
      <w:r w:rsidR="00771F94">
        <w:t xml:space="preserve">Figure </w:t>
      </w:r>
      <w:r w:rsidR="00771F94">
        <w:rPr>
          <w:noProof/>
        </w:rPr>
        <w:t>1</w:t>
      </w:r>
      <w:r w:rsidR="00771F94">
        <w:fldChar w:fldCharType="end"/>
      </w:r>
      <w:r w:rsidR="00985694">
        <w:t xml:space="preserve"> below</w:t>
      </w:r>
      <w:r w:rsidR="0029445E">
        <w:t>)</w:t>
      </w:r>
      <w:r>
        <w:t xml:space="preserve">. In this case, distances </w:t>
      </w:r>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m:t>
            </m:r>
            <m:r>
              <w:rPr>
                <w:rFonts w:ascii="Cambria Math" w:hAnsi="Cambria Math"/>
                <w:szCs w:val="22"/>
              </w:rPr>
              <m:t>1</m:t>
            </m:r>
          </m:sub>
        </m:sSub>
      </m:oMath>
      <w:r>
        <w:rPr>
          <w:szCs w:val="22"/>
        </w:rPr>
        <w:t xml:space="preserve"> </w:t>
      </w:r>
      <w:r w:rsidR="0029445E">
        <w:rPr>
          <w:szCs w:val="22"/>
        </w:rPr>
        <w:t xml:space="preserve">and </w:t>
      </w:r>
      <m:oMath>
        <m:sSub>
          <m:sSubPr>
            <m:ctrlPr>
              <w:rPr>
                <w:rFonts w:ascii="Cambria Math" w:hAnsi="Cambria Math"/>
                <w:i/>
                <w:szCs w:val="22"/>
              </w:rPr>
            </m:ctrlPr>
          </m:sSubPr>
          <m:e>
            <m:r>
              <w:rPr>
                <w:rFonts w:ascii="Cambria Math" w:hAnsi="Cambria Math"/>
                <w:szCs w:val="22"/>
              </w:rPr>
              <m:t>D2</m:t>
            </m:r>
          </m:e>
          <m:sub>
            <m:r>
              <w:rPr>
                <w:rFonts w:ascii="Cambria Math" w:hAnsi="Cambria Math"/>
                <w:szCs w:val="22"/>
              </w:rPr>
              <m:t>h</m:t>
            </m:r>
            <m:r>
              <w:rPr>
                <w:rFonts w:ascii="Cambria Math" w:hAnsi="Cambria Math"/>
                <w:szCs w:val="22"/>
              </w:rPr>
              <m:t>1</m:t>
            </m:r>
          </m:sub>
        </m:sSub>
      </m:oMath>
      <w:r w:rsidR="00D02ECB">
        <w:rPr>
          <w:szCs w:val="22"/>
        </w:rPr>
        <w:t xml:space="preserve"> </w:t>
      </w:r>
      <w:r>
        <w:rPr>
          <w:szCs w:val="22"/>
        </w:rPr>
        <w:t>might grow and</w:t>
      </w:r>
      <w:r w:rsidR="0029445E">
        <w:rPr>
          <w:szCs w:val="22"/>
        </w:rPr>
        <w:t>, consequently,</w:t>
      </w:r>
      <w:r>
        <w:rPr>
          <w:szCs w:val="22"/>
        </w:rPr>
        <w:t xml:space="preserve"> the blockage attenuation might increase, even though the blocker</w:t>
      </w:r>
      <w:r w:rsidR="00121953">
        <w:rPr>
          <w:szCs w:val="22"/>
        </w:rPr>
        <w:t xml:space="preserve"> lags farther </w:t>
      </w:r>
      <w:r w:rsidR="0029445E">
        <w:rPr>
          <w:szCs w:val="22"/>
        </w:rPr>
        <w:t xml:space="preserve">and farther </w:t>
      </w:r>
      <w:r w:rsidR="00121953">
        <w:rPr>
          <w:szCs w:val="22"/>
        </w:rPr>
        <w:t>away behind.</w:t>
      </w:r>
      <w:r w:rsidR="0029445E">
        <w:rPr>
          <w:szCs w:val="22"/>
        </w:rPr>
        <w:t xml:space="preserve"> Clearly, </w:t>
      </w:r>
      <w:r w:rsidR="00BC0145">
        <w:rPr>
          <w:szCs w:val="22"/>
        </w:rPr>
        <w:t xml:space="preserve">this is an issue, as </w:t>
      </w:r>
      <w:r w:rsidR="0029445E">
        <w:rPr>
          <w:szCs w:val="22"/>
        </w:rPr>
        <w:t xml:space="preserve">in such situation the loss </w:t>
      </w:r>
      <w:r w:rsidR="00A61A3C">
        <w:rPr>
          <w:szCs w:val="22"/>
        </w:rPr>
        <w:t>should instead be</w:t>
      </w:r>
      <w:r w:rsidR="00860034">
        <w:rPr>
          <w:szCs w:val="22"/>
        </w:rPr>
        <w:t>come</w:t>
      </w:r>
      <w:r w:rsidR="00A61A3C">
        <w:rPr>
          <w:szCs w:val="22"/>
        </w:rPr>
        <w:t xml:space="preserve"> progressively negligible</w:t>
      </w:r>
      <w:r w:rsidR="007636A1">
        <w:rPr>
          <w:szCs w:val="22"/>
        </w:rPr>
        <w:t xml:space="preserve"> since the screen is not blocking the transmission anymore</w:t>
      </w:r>
      <w:r w:rsidR="00A61A3C">
        <w:rPr>
          <w:szCs w:val="22"/>
        </w:rPr>
        <w:t>.</w:t>
      </w:r>
    </w:p>
    <w:p w14:paraId="0607A636" w14:textId="77777777" w:rsidR="00A61A3C" w:rsidRPr="00A432FA" w:rsidRDefault="00A61A3C" w:rsidP="00A432FA"/>
    <w:p w14:paraId="6E801B0A" w14:textId="77777777" w:rsidR="00A61A3C" w:rsidRDefault="00A61A3C" w:rsidP="00A61A3C">
      <w:pPr>
        <w:overflowPunct/>
        <w:autoSpaceDE/>
        <w:autoSpaceDN/>
        <w:adjustRightInd/>
        <w:spacing w:after="0"/>
        <w:jc w:val="center"/>
        <w:textAlignment w:val="auto"/>
      </w:pPr>
      <w:r>
        <w:rPr>
          <w:noProof/>
          <w:lang w:val="sv-SE" w:eastAsia="sv-SE"/>
        </w:rPr>
        <mc:AlternateContent>
          <mc:Choice Requires="wpg">
            <w:drawing>
              <wp:inline distT="0" distB="0" distL="0" distR="0" wp14:anchorId="32E29D71" wp14:editId="6C8FE21C">
                <wp:extent cx="4023360" cy="1995778"/>
                <wp:effectExtent l="0" t="0" r="15240" b="5080"/>
                <wp:docPr id="13" name="Group 13"/>
                <wp:cNvGraphicFramePr/>
                <a:graphic xmlns:a="http://schemas.openxmlformats.org/drawingml/2006/main">
                  <a:graphicData uri="http://schemas.microsoft.com/office/word/2010/wordprocessingGroup">
                    <wpg:wgp>
                      <wpg:cNvGrpSpPr/>
                      <wpg:grpSpPr>
                        <a:xfrm>
                          <a:off x="0" y="0"/>
                          <a:ext cx="4023360" cy="1995778"/>
                          <a:chOff x="0" y="0"/>
                          <a:chExt cx="3523350" cy="1622425"/>
                        </a:xfrm>
                      </wpg:grpSpPr>
                      <wpg:grpSp>
                        <wpg:cNvPr id="11" name="Group 11"/>
                        <wpg:cNvGrpSpPr/>
                        <wpg:grpSpPr>
                          <a:xfrm>
                            <a:off x="0" y="0"/>
                            <a:ext cx="3523350" cy="1271700"/>
                            <a:chOff x="0" y="0"/>
                            <a:chExt cx="3523350" cy="1271700"/>
                          </a:xfrm>
                        </wpg:grpSpPr>
                        <wps:wsp>
                          <wps:cNvPr id="1" name="Flowchart: Data 1"/>
                          <wps:cNvSpPr/>
                          <wps:spPr>
                            <a:xfrm rot="16200000">
                              <a:off x="2724150" y="471600"/>
                              <a:ext cx="1270800" cy="327600"/>
                            </a:xfrm>
                            <a:prstGeom prst="flowChartInputOut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219075" y="652575"/>
                              <a:ext cx="3133725"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 name="Rectangle 2"/>
                          <wps:cNvSpPr/>
                          <wps:spPr>
                            <a:xfrm>
                              <a:off x="0" y="452550"/>
                              <a:ext cx="466725" cy="371475"/>
                            </a:xfrm>
                            <a:prstGeom prst="rect">
                              <a:avLst/>
                            </a:prstGeom>
                          </wps:spPr>
                          <wps:style>
                            <a:lnRef idx="2">
                              <a:schemeClr val="dk1"/>
                            </a:lnRef>
                            <a:fillRef idx="1">
                              <a:schemeClr val="lt1"/>
                            </a:fillRef>
                            <a:effectRef idx="0">
                              <a:schemeClr val="dk1"/>
                            </a:effectRef>
                            <a:fontRef idx="minor">
                              <a:schemeClr val="dk1"/>
                            </a:fontRef>
                          </wps:style>
                          <wps:txbx>
                            <w:txbxContent>
                              <w:p w14:paraId="2464F8ED" w14:textId="77777777" w:rsidR="00D02ECB" w:rsidRPr="00EA7BB4" w:rsidRDefault="00D02ECB" w:rsidP="00121953">
                                <w:pPr>
                                  <w:jc w:val="center"/>
                                  <w:rPr>
                                    <w:rFonts w:ascii="Arial" w:hAnsi="Arial" w:cs="Arial"/>
                                    <w:lang w:val="en-US"/>
                                  </w:rPr>
                                </w:pPr>
                                <w:proofErr w:type="spellStart"/>
                                <w:r w:rsidRPr="00EA7BB4">
                                  <w:rPr>
                                    <w:rFonts w:ascii="Arial" w:hAnsi="Arial" w:cs="Arial"/>
                                    <w:lang w:val="en-US"/>
                                  </w:rPr>
                                  <w:t>Tx</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609725" y="462075"/>
                              <a:ext cx="466725" cy="371475"/>
                            </a:xfrm>
                            <a:prstGeom prst="rect">
                              <a:avLst/>
                            </a:prstGeom>
                          </wps:spPr>
                          <wps:style>
                            <a:lnRef idx="2">
                              <a:schemeClr val="dk1"/>
                            </a:lnRef>
                            <a:fillRef idx="1">
                              <a:schemeClr val="lt1"/>
                            </a:fillRef>
                            <a:effectRef idx="0">
                              <a:schemeClr val="dk1"/>
                            </a:effectRef>
                            <a:fontRef idx="minor">
                              <a:schemeClr val="dk1"/>
                            </a:fontRef>
                          </wps:style>
                          <wps:txbx>
                            <w:txbxContent>
                              <w:p w14:paraId="4D740671" w14:textId="77777777" w:rsidR="00D02ECB" w:rsidRPr="00EA7BB4" w:rsidRDefault="00D02ECB" w:rsidP="00121953">
                                <w:pPr>
                                  <w:jc w:val="center"/>
                                  <w:rPr>
                                    <w:rFonts w:ascii="Arial" w:hAnsi="Arial" w:cs="Arial"/>
                                    <w:lang w:val="en-US"/>
                                  </w:rPr>
                                </w:pPr>
                                <w:r w:rsidRPr="00EA7BB4">
                                  <w:rPr>
                                    <w:rFonts w:ascii="Arial" w:hAnsi="Arial" w:cs="Arial"/>
                                    <w:lang w:val="en-US"/>
                                  </w:rPr>
                                  <w:t>Rx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flipH="1" flipV="1">
                              <a:off x="1047750" y="652575"/>
                              <a:ext cx="552450" cy="0"/>
                            </a:xfrm>
                            <a:prstGeom prst="straightConnector1">
                              <a:avLst/>
                            </a:prstGeom>
                            <a:ln w="25400">
                              <a:tailEnd type="triangle"/>
                            </a:ln>
                          </wps:spPr>
                          <wps:style>
                            <a:lnRef idx="1">
                              <a:schemeClr val="dk1"/>
                            </a:lnRef>
                            <a:fillRef idx="0">
                              <a:schemeClr val="dk1"/>
                            </a:fillRef>
                            <a:effectRef idx="0">
                              <a:schemeClr val="dk1"/>
                            </a:effectRef>
                            <a:fontRef idx="minor">
                              <a:schemeClr val="tx1"/>
                            </a:fontRef>
                          </wps:style>
                          <wps:bodyPr/>
                        </wps:wsp>
                        <wps:wsp>
                          <wps:cNvPr id="7" name="Straight Arrow Connector 7"/>
                          <wps:cNvCnPr/>
                          <wps:spPr>
                            <a:xfrm flipV="1">
                              <a:off x="2095500" y="147750"/>
                              <a:ext cx="1276350" cy="45720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a:off x="2105025" y="671625"/>
                              <a:ext cx="1247775" cy="47625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2514600" y="33450"/>
                              <a:ext cx="466725" cy="3714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1A7CC7A" w14:textId="77777777" w:rsidR="00D02ECB" w:rsidRPr="00121953" w:rsidRDefault="008F3084" w:rsidP="0029445E">
                                <w:pPr>
                                  <w:jc w:val="center"/>
                                  <w:rPr>
                                    <w:rFonts w:ascii="Arial" w:hAnsi="Arial" w:cs="Arial"/>
                                    <w:sz w:val="32"/>
                                    <w:szCs w:val="32"/>
                                    <w:lang w:val="en-US"/>
                                  </w:rPr>
                                </w:pPr>
                                <m:oMathPara>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m:t>
                                        </m:r>
                                        <m:r>
                                          <w:rPr>
                                            <w:rFonts w:ascii="Cambria Math" w:hAnsi="Cambria Math"/>
                                            <w:szCs w:val="22"/>
                                          </w:rPr>
                                          <m:t>1</m:t>
                                        </m:r>
                                      </m:sub>
                                    </m:sSub>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543175" y="900225"/>
                              <a:ext cx="466725" cy="3714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65681BD" w14:textId="77777777" w:rsidR="00D02ECB" w:rsidRPr="00121953" w:rsidRDefault="008F3084" w:rsidP="0029445E">
                                <w:pPr>
                                  <w:jc w:val="center"/>
                                  <w:rPr>
                                    <w:rFonts w:ascii="Arial" w:hAnsi="Arial" w:cs="Arial"/>
                                    <w:sz w:val="32"/>
                                    <w:szCs w:val="32"/>
                                    <w:lang w:val="en-US"/>
                                  </w:rPr>
                                </w:pPr>
                                <m:oMathPara>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m:t>
                                        </m:r>
                                        <m:r>
                                          <w:rPr>
                                            <w:rFonts w:ascii="Cambria Math" w:hAnsi="Cambria Math"/>
                                            <w:szCs w:val="22"/>
                                          </w:rPr>
                                          <m:t>2</m:t>
                                        </m:r>
                                      </m:sub>
                                    </m:sSub>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 name="Text Box 12"/>
                        <wps:cNvSpPr txBox="1"/>
                        <wps:spPr>
                          <a:xfrm>
                            <a:off x="0" y="1323975"/>
                            <a:ext cx="3522345" cy="298450"/>
                          </a:xfrm>
                          <a:prstGeom prst="rect">
                            <a:avLst/>
                          </a:prstGeom>
                          <a:solidFill>
                            <a:prstClr val="white"/>
                          </a:solidFill>
                          <a:ln>
                            <a:noFill/>
                          </a:ln>
                        </wps:spPr>
                        <wps:txbx>
                          <w:txbxContent>
                            <w:p w14:paraId="6D68F24A" w14:textId="6B522AB5" w:rsidR="00D02ECB" w:rsidRPr="001525DF" w:rsidRDefault="00D02ECB" w:rsidP="0029445E">
                              <w:pPr>
                                <w:pStyle w:val="Caption"/>
                                <w:rPr>
                                  <w:noProof/>
                                </w:rPr>
                              </w:pPr>
                              <w:bookmarkStart w:id="13" w:name="_Ref471129156"/>
                              <w:bookmarkStart w:id="14" w:name="_Ref471129126"/>
                              <w:r>
                                <w:t xml:space="preserve">Figure </w:t>
                              </w:r>
                              <w:r>
                                <w:fldChar w:fldCharType="begin"/>
                              </w:r>
                              <w:r>
                                <w:instrText xml:space="preserve"> SEQ Figure \* ARABIC </w:instrText>
                              </w:r>
                              <w:r>
                                <w:fldChar w:fldCharType="separate"/>
                              </w:r>
                              <w:r w:rsidR="00CA4585">
                                <w:rPr>
                                  <w:noProof/>
                                </w:rPr>
                                <w:t>1</w:t>
                              </w:r>
                              <w:r>
                                <w:fldChar w:fldCharType="end"/>
                              </w:r>
                              <w:bookmarkEnd w:id="13"/>
                              <w:r>
                                <w:t xml:space="preserve"> Problematic scenario for Model B</w:t>
                              </w:r>
                              <w:bookmarkEnd w:id="14"/>
                              <w:r>
                                <w:t xml:space="preserve"> (side view)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inline>
            </w:drawing>
          </mc:Choice>
          <mc:Fallback>
            <w:pict>
              <v:group w14:anchorId="32E29D71" id="Group 13" o:spid="_x0000_s1026" style="width:316.8pt;height:157.15pt;mso-position-horizontal-relative:char;mso-position-vertical-relative:line" coordsize="35233,16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">
                <v:group id="Group 11" o:spid="_x0000_s1027" style="position:absolute;width:35233;height:12717" coordsize="35233,1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111" coordsize="21600,21600" o:spt="111" path="m4321,l21600,,17204,21600,,21600xe">
                    <v:stroke joinstyle="miter"/>
                    <v:path gradientshapeok="t" o:connecttype="custom" o:connectlocs="12961,0;10800,0;2161,10800;8602,21600;10800,21600;19402,10800" textboxrect="4321,0,17204,21600"/>
                  </v:shapetype>
                  <v:shape id="Flowchart: Data 1" o:spid="_x0000_s1028" type="#_x0000_t111" style="position:absolute;left:27241;top:4716;width:12708;height:32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" fillcolor="white [3201]" strokecolor="black [3200]" strokeweight="2pt"/>
                  <v:line id="Straight Connector 4" o:spid="_x0000_s1029" style="position:absolute;visibility:visible;mso-wrap-style:square" from="2190,6525" to="33528,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" strokecolor="black [3200]">
                    <v:stroke dashstyle="dash"/>
                  </v:line>
                  <v:rect id="Rectangle 2" o:spid="_x0000_s1030" style="position:absolute;top:4525;width:466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" fillcolor="white [3201]" strokecolor="black [3200]" strokeweight="2pt">
                    <v:textbox>
                      <w:txbxContent>
                        <w:p w14:paraId="2464F8ED" w14:textId="77777777" w:rsidR="00D02ECB" w:rsidRPr="00EA7BB4" w:rsidRDefault="00D02ECB" w:rsidP="00121953">
                          <w:pPr>
                            <w:jc w:val="center"/>
                            <w:rPr>
                              <w:rFonts w:ascii="Arial" w:hAnsi="Arial" w:cs="Arial"/>
                              <w:lang w:val="en-US"/>
                            </w:rPr>
                          </w:pPr>
                          <w:proofErr w:type="spellStart"/>
                          <w:r w:rsidRPr="00EA7BB4">
                            <w:rPr>
                              <w:rFonts w:ascii="Arial" w:hAnsi="Arial" w:cs="Arial"/>
                              <w:lang w:val="en-US"/>
                            </w:rPr>
                            <w:t>Tx</w:t>
                          </w:r>
                          <w:proofErr w:type="spellEnd"/>
                        </w:p>
                      </w:txbxContent>
                    </v:textbox>
                  </v:rect>
                  <v:rect id="Rectangle 3" o:spid="_x0000_s1031" style="position:absolute;left:16097;top:4620;width:466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UuLwgAAANoAAAAPAAAAZHJzL2Rvd25yZXYueG1sRI9Bi8Iw&#10;FITvgv8hPGFvmu4u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CF1UuLwgAAANoAAAAPAAAA&#10;AAAAAAAAAAAAAAcCAABkcnMvZG93bnJldi54bWxQSwUGAAAAAAMAAwC3AAAA9gIAAAAA&#10;" fillcolor="white [3201]" strokecolor="black [3200]" strokeweight="2pt">
                    <v:textbox>
                      <w:txbxContent>
                        <w:p w14:paraId="4D740671" w14:textId="77777777" w:rsidR="00D02ECB" w:rsidRPr="00EA7BB4" w:rsidRDefault="00D02ECB" w:rsidP="00121953">
                          <w:pPr>
                            <w:jc w:val="center"/>
                            <w:rPr>
                              <w:rFonts w:ascii="Arial" w:hAnsi="Arial" w:cs="Arial"/>
                              <w:lang w:val="en-US"/>
                            </w:rPr>
                          </w:pPr>
                          <w:r w:rsidRPr="00EA7BB4">
                            <w:rPr>
                              <w:rFonts w:ascii="Arial" w:hAnsi="Arial" w:cs="Arial"/>
                              <w:lang w:val="en-US"/>
                            </w:rPr>
                            <w:t>Rx</w:t>
                          </w:r>
                        </w:p>
                      </w:txbxContent>
                    </v:textbox>
                  </v:rect>
                  <v:shapetype id="_x0000_t32" coordsize="21600,21600" o:spt="32" o:oned="t" path="m,l21600,21600e" filled="f">
                    <v:path arrowok="t" fillok="f" o:connecttype="none"/>
                    <o:lock v:ext="edit" shapetype="t"/>
                  </v:shapetype>
                  <v:shape id="Straight Arrow Connector 5" o:spid="_x0000_s1032" type="#_x0000_t32" style="position:absolute;left:10477;top:6525;width:55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" strokecolor="black [3040]" strokeweight="2pt">
                    <v:stroke endarrow="block"/>
                  </v:shape>
                  <v:shape id="Straight Arrow Connector 7" o:spid="_x0000_s1033" type="#_x0000_t32" style="position:absolute;left:20955;top:1477;width:12763;height:45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" strokecolor="black [3040]">
                    <v:stroke startarrow="block" endarrow="block"/>
                  </v:shape>
                  <v:shape id="Straight Arrow Connector 8" o:spid="_x0000_s1034" type="#_x0000_t32" style="position:absolute;left:21050;top:6716;width:12478;height:4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" strokecolor="black [3040]">
                    <v:stroke startarrow="block" endarrow="block"/>
                  </v:shape>
                  <v:rect id="Rectangle 9" o:spid="_x0000_s1035" style="position:absolute;left:25146;top:334;width:466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" filled="f" stroked="f" strokeweight="2pt">
                    <v:textbox>
                      <w:txbxContent>
                        <w:p w14:paraId="51A7CC7A" w14:textId="77777777" w:rsidR="00D02ECB" w:rsidRPr="00121953" w:rsidRDefault="00B737D6" w:rsidP="0029445E">
                          <w:pPr>
                            <w:jc w:val="center"/>
                            <w:rPr>
                              <w:rFonts w:ascii="Arial" w:hAnsi="Arial" w:cs="Arial"/>
                              <w:sz w:val="32"/>
                              <w:szCs w:val="32"/>
                              <w:lang w:val="en-US"/>
                            </w:rPr>
                          </w:pPr>
                          <m:oMathPara>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m:t>
                                  </m:r>
                                  <m:r>
                                    <w:rPr>
                                      <w:rFonts w:ascii="Cambria Math" w:hAnsi="Cambria Math"/>
                                      <w:szCs w:val="22"/>
                                    </w:rPr>
                                    <m:t>1</m:t>
                                  </m:r>
                                </m:sub>
                              </m:sSub>
                            </m:oMath>
                          </m:oMathPara>
                        </w:p>
                      </w:txbxContent>
                    </v:textbox>
                  </v:rect>
                  <v:rect id="Rectangle 10" o:spid="_x0000_s1036" style="position:absolute;left:25431;top:9002;width:4668;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" filled="f" stroked="f" strokeweight="2pt">
                    <v:textbox>
                      <w:txbxContent>
                        <w:p w14:paraId="465681BD" w14:textId="77777777" w:rsidR="00D02ECB" w:rsidRPr="00121953" w:rsidRDefault="00B737D6" w:rsidP="0029445E">
                          <w:pPr>
                            <w:jc w:val="center"/>
                            <w:rPr>
                              <w:rFonts w:ascii="Arial" w:hAnsi="Arial" w:cs="Arial"/>
                              <w:sz w:val="32"/>
                              <w:szCs w:val="32"/>
                              <w:lang w:val="en-US"/>
                            </w:rPr>
                          </w:pPr>
                          <m:oMathPara>
                            <m:oMath>
                              <m:sSub>
                                <m:sSubPr>
                                  <m:ctrlPr>
                                    <w:rPr>
                                      <w:rFonts w:ascii="Cambria Math" w:hAnsi="Cambria Math"/>
                                      <w:i/>
                                      <w:szCs w:val="22"/>
                                    </w:rPr>
                                  </m:ctrlPr>
                                </m:sSubPr>
                                <m:e>
                                  <m:r>
                                    <w:rPr>
                                      <w:rFonts w:ascii="Cambria Math" w:hAnsi="Cambria Math"/>
                                      <w:szCs w:val="22"/>
                                    </w:rPr>
                                    <m:t>D1</m:t>
                                  </m:r>
                                </m:e>
                                <m:sub>
                                  <m:r>
                                    <w:rPr>
                                      <w:rFonts w:ascii="Cambria Math" w:hAnsi="Cambria Math"/>
                                      <w:szCs w:val="22"/>
                                    </w:rPr>
                                    <m:t>h</m:t>
                                  </m:r>
                                  <m:r>
                                    <w:rPr>
                                      <w:rFonts w:ascii="Cambria Math" w:hAnsi="Cambria Math"/>
                                      <w:szCs w:val="22"/>
                                    </w:rPr>
                                    <m:t>2</m:t>
                                  </m:r>
                                </m:sub>
                              </m:sSub>
                            </m:oMath>
                          </m:oMathPara>
                        </w:p>
                      </w:txbxContent>
                    </v:textbox>
                  </v:rect>
                </v:group>
                <v:shapetype id="_x0000_t202" coordsize="21600,21600" o:spt="202" path="m,l,21600r21600,l21600,xe">
                  <v:stroke joinstyle="miter"/>
                  <v:path gradientshapeok="t" o:connecttype="rect"/>
                </v:shapetype>
                <v:shape id="Text Box 12" o:spid="_x0000_s1037" type="#_x0000_t202" style="position:absolute;top:13239;width:35223;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" stroked="f">
                  <v:textbox inset="0,0,0,0">
                    <w:txbxContent>
                      <w:p w14:paraId="6D68F24A" w14:textId="6B522AB5" w:rsidR="00D02ECB" w:rsidRPr="001525DF" w:rsidRDefault="00D02ECB" w:rsidP="0029445E">
                        <w:pPr>
                          <w:pStyle w:val="Caption"/>
                          <w:rPr>
                            <w:noProof/>
                          </w:rPr>
                        </w:pPr>
                        <w:bookmarkStart w:id="15" w:name="_Ref471129156"/>
                        <w:bookmarkStart w:id="16" w:name="_Ref471129126"/>
                        <w:r>
                          <w:t xml:space="preserve">Figure </w:t>
                        </w:r>
                        <w:r>
                          <w:fldChar w:fldCharType="begin"/>
                        </w:r>
                        <w:r>
                          <w:instrText xml:space="preserve"> SEQ Figure \* ARABIC </w:instrText>
                        </w:r>
                        <w:r>
                          <w:fldChar w:fldCharType="separate"/>
                        </w:r>
                        <w:r w:rsidR="00CA4585">
                          <w:rPr>
                            <w:noProof/>
                          </w:rPr>
                          <w:t>1</w:t>
                        </w:r>
                        <w:r>
                          <w:fldChar w:fldCharType="end"/>
                        </w:r>
                        <w:bookmarkEnd w:id="15"/>
                        <w:r>
                          <w:t xml:space="preserve"> Problematic scenario for Model B</w:t>
                        </w:r>
                        <w:bookmarkEnd w:id="16"/>
                        <w:r>
                          <w:t xml:space="preserve"> (side view)</w:t>
                        </w:r>
                      </w:p>
                    </w:txbxContent>
                  </v:textbox>
                </v:shape>
                <w10:anchorlock/>
              </v:group>
            </w:pict>
          </mc:Fallback>
        </mc:AlternateContent>
      </w:r>
    </w:p>
    <w:p w14:paraId="439A3C07" w14:textId="6BF65B58" w:rsidR="00B26513" w:rsidRDefault="00655192" w:rsidP="00A61A3C">
      <w:r>
        <w:lastRenderedPageBreak/>
        <w:t xml:space="preserve">In addition to the above exemplary layout, all the rays coming from behind the receiver pose a similar problem for the computation of blockage losses, even if the blocker is situated in between the communicating devices. To resolve the above </w:t>
      </w:r>
      <w:r w:rsidR="00FB1C84">
        <w:t>issue,</w:t>
      </w:r>
      <w:r>
        <w:t xml:space="preserve"> w</w:t>
      </w:r>
      <w:r w:rsidR="003362B3">
        <w:t>e propose a</w:t>
      </w:r>
      <w:r w:rsidR="00A61A3C">
        <w:t xml:space="preserve"> </w:t>
      </w:r>
      <w:r w:rsidR="00860034">
        <w:t>new rule for the determination of the diffraction-effect argument signs</w:t>
      </w:r>
      <w:r w:rsidR="003362B3">
        <w:t>.</w:t>
      </w:r>
      <w:r w:rsidR="003C22C1">
        <w:t xml:space="preserve"> </w:t>
      </w:r>
    </w:p>
    <w:p w14:paraId="6E396359" w14:textId="305E6414" w:rsidR="00860034" w:rsidRDefault="00DF3AC4" w:rsidP="00D85A5B">
      <w:pPr>
        <w:pStyle w:val="Proposal"/>
        <w:rPr>
          <w:lang w:eastAsia="ko-KR"/>
        </w:rPr>
      </w:pPr>
      <w:bookmarkStart w:id="15" w:name="_Toc471488917"/>
      <w:bookmarkStart w:id="16" w:name="_Toc471725959"/>
      <w:bookmarkStart w:id="17" w:name="_Toc471729792"/>
      <w:r>
        <w:rPr>
          <w:lang w:eastAsia="ko-KR"/>
        </w:rPr>
        <w:t xml:space="preserve">Change the sign-determining conditions in the TR to the following three conditions: (i) </w:t>
      </w:r>
      <w:r w:rsidR="00860034">
        <w:rPr>
          <w:lang w:eastAsia="ko-KR"/>
        </w:rPr>
        <w:t xml:space="preserve">If the sub-path doesn’t intersect the screen in side view, minus sign is applied for the shortest path </w:t>
      </w:r>
      <w:r w:rsidR="00CC2566">
        <w:rPr>
          <w:lang w:eastAsia="ko-KR"/>
        </w:rPr>
        <w:t>among</w:t>
      </w:r>
      <w:r w:rsidR="00860034">
        <w:rPr>
          <w:lang w:eastAsia="ko-KR"/>
        </w:rPr>
        <w:t xml:space="preserve"> </w:t>
      </w:r>
      <w:r w:rsidR="00860034" w:rsidRPr="003D4773">
        <w:rPr>
          <w:position w:val="-14"/>
          <w:lang w:val="en-US"/>
        </w:rPr>
        <w:object w:dxaOrig="460" w:dyaOrig="380" w14:anchorId="60D39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75pt" o:ole="">
            <v:imagedata r:id="rId8" o:title=""/>
          </v:shape>
          <o:OLEObject Type="Embed" ProgID="Equation.3" ShapeID="_x0000_i1025" DrawAspect="Content" ObjectID="_1545491454" r:id="rId9"/>
        </w:object>
      </w:r>
      <w:r w:rsidR="00860034" w:rsidRPr="00DF3AC4">
        <w:rPr>
          <w:lang w:val="en-US"/>
        </w:rPr>
        <w:t xml:space="preserve">and </w:t>
      </w:r>
      <w:r w:rsidR="00860034" w:rsidRPr="003D4773">
        <w:rPr>
          <w:position w:val="-14"/>
          <w:lang w:val="en-US"/>
        </w:rPr>
        <w:object w:dxaOrig="480" w:dyaOrig="380" w14:anchorId="31187061">
          <v:shape id="_x0000_i1026" type="#_x0000_t75" style="width:24pt;height:18.75pt" o:ole="">
            <v:imagedata r:id="rId10" o:title=""/>
          </v:shape>
          <o:OLEObject Type="Embed" ProgID="Equation.3" ShapeID="_x0000_i1026" DrawAspect="Content" ObjectID="_1545491455" r:id="rId11"/>
        </w:object>
      </w:r>
      <w:r w:rsidR="00CC2566" w:rsidRPr="00DF3AC4">
        <w:rPr>
          <w:lang w:val="en-US"/>
        </w:rPr>
        <w:t xml:space="preserve"> in the </w:t>
      </w:r>
      <w:proofErr w:type="spellStart"/>
      <w:r w:rsidR="00CC2566" w:rsidRPr="00DF3AC4">
        <w:rPr>
          <w:lang w:val="en-US"/>
        </w:rPr>
        <w:t>NLoS</w:t>
      </w:r>
      <w:proofErr w:type="spellEnd"/>
      <w:r w:rsidR="00CC2566" w:rsidRPr="00DF3AC4">
        <w:rPr>
          <w:lang w:val="en-US"/>
        </w:rPr>
        <w:t xml:space="preserve"> case  </w:t>
      </w:r>
      <w:r w:rsidR="00860034" w:rsidRPr="00DF3AC4">
        <w:rPr>
          <w:lang w:val="en-US"/>
        </w:rPr>
        <w:t>(</w:t>
      </w:r>
      <w:r w:rsidR="00860034" w:rsidRPr="003D4773">
        <w:rPr>
          <w:position w:val="-14"/>
          <w:lang w:val="en-US"/>
        </w:rPr>
        <w:object w:dxaOrig="1120" w:dyaOrig="380" w14:anchorId="119C1866">
          <v:shape id="_x0000_i1027" type="#_x0000_t75" style="width:56.25pt;height:18.75pt" o:ole="">
            <v:imagedata r:id="rId12" o:title=""/>
          </v:shape>
          <o:OLEObject Type="Embed" ProgID="Equation.3" ShapeID="_x0000_i1027" DrawAspect="Content" ObjectID="_1545491456" r:id="rId13"/>
        </w:object>
      </w:r>
      <w:r w:rsidR="00860034" w:rsidRPr="00DF3AC4">
        <w:rPr>
          <w:lang w:val="en-US"/>
        </w:rPr>
        <w:t xml:space="preserve">and </w:t>
      </w:r>
      <w:r w:rsidR="00860034" w:rsidRPr="003D4773">
        <w:rPr>
          <w:position w:val="-14"/>
          <w:lang w:val="en-US"/>
        </w:rPr>
        <w:object w:dxaOrig="1160" w:dyaOrig="380" w14:anchorId="2C60CEC2">
          <v:shape id="_x0000_i1028" type="#_x0000_t75" style="width:57.75pt;height:18.75pt" o:ole="">
            <v:imagedata r:id="rId14" o:title=""/>
          </v:shape>
          <o:OLEObject Type="Embed" ProgID="Equation.3" ShapeID="_x0000_i1028" DrawAspect="Content" ObjectID="_1545491457" r:id="rId15"/>
        </w:object>
      </w:r>
      <w:r w:rsidR="00CC2566" w:rsidRPr="00DF3AC4">
        <w:rPr>
          <w:lang w:val="en-US"/>
        </w:rPr>
        <w:t>in</w:t>
      </w:r>
      <w:r w:rsidR="00860034" w:rsidRPr="00DF3AC4">
        <w:rPr>
          <w:lang w:val="en-US"/>
        </w:rPr>
        <w:t xml:space="preserve"> the </w:t>
      </w:r>
      <w:proofErr w:type="spellStart"/>
      <w:r w:rsidR="00860034" w:rsidRPr="00DF3AC4">
        <w:rPr>
          <w:lang w:val="en-US"/>
        </w:rPr>
        <w:t>LoS</w:t>
      </w:r>
      <w:proofErr w:type="spellEnd"/>
      <w:r w:rsidR="00860034" w:rsidRPr="00DF3AC4">
        <w:rPr>
          <w:lang w:val="en-US"/>
        </w:rPr>
        <w:t xml:space="preserve"> case) </w:t>
      </w:r>
      <w:r w:rsidR="00860034">
        <w:rPr>
          <w:lang w:eastAsia="ko-KR"/>
        </w:rPr>
        <w:t>and plus sign is applied for the other</w:t>
      </w:r>
      <w:r w:rsidR="00CC2566">
        <w:rPr>
          <w:lang w:eastAsia="ko-KR"/>
        </w:rPr>
        <w:t xml:space="preserve"> edge</w:t>
      </w:r>
      <w:r w:rsidR="00860034">
        <w:rPr>
          <w:lang w:eastAsia="ko-KR"/>
        </w:rPr>
        <w:t>.</w:t>
      </w:r>
      <w:r>
        <w:rPr>
          <w:lang w:eastAsia="ko-KR"/>
        </w:rPr>
        <w:t xml:space="preserve"> (ii) </w:t>
      </w:r>
      <w:r w:rsidR="00860034">
        <w:rPr>
          <w:lang w:eastAsia="ko-KR"/>
        </w:rPr>
        <w:t xml:space="preserve">If the sub-path doesn’t intersect the </w:t>
      </w:r>
      <w:bookmarkStart w:id="18" w:name="_GoBack"/>
      <w:bookmarkEnd w:id="18"/>
      <w:r w:rsidR="00860034">
        <w:rPr>
          <w:lang w:eastAsia="ko-KR"/>
        </w:rPr>
        <w:t xml:space="preserve">screen in top view, minus sign is applied for the shortest path </w:t>
      </w:r>
      <w:r w:rsidR="00CC2566">
        <w:rPr>
          <w:lang w:eastAsia="ko-KR"/>
        </w:rPr>
        <w:t>among</w:t>
      </w:r>
      <w:r w:rsidR="00860034">
        <w:rPr>
          <w:lang w:eastAsia="ko-KR"/>
        </w:rPr>
        <w:t xml:space="preserve"> </w:t>
      </w:r>
      <w:r w:rsidR="00860034" w:rsidRPr="003D4773">
        <w:rPr>
          <w:position w:val="-14"/>
          <w:lang w:val="en-US"/>
        </w:rPr>
        <w:object w:dxaOrig="499" w:dyaOrig="380" w14:anchorId="6F49C989">
          <v:shape id="_x0000_i1029" type="#_x0000_t75" style="width:24.75pt;height:18.75pt" o:ole="">
            <v:imagedata r:id="rId16" o:title=""/>
          </v:shape>
          <o:OLEObject Type="Embed" ProgID="Equation.3" ShapeID="_x0000_i1029" DrawAspect="Content" ObjectID="_1545491458" r:id="rId17"/>
        </w:object>
      </w:r>
      <w:r w:rsidR="00860034" w:rsidRPr="00DF3AC4">
        <w:rPr>
          <w:lang w:val="en-US"/>
        </w:rPr>
        <w:t xml:space="preserve">and </w:t>
      </w:r>
      <w:r w:rsidR="00860034" w:rsidRPr="003D4773">
        <w:rPr>
          <w:position w:val="-14"/>
          <w:lang w:val="en-US"/>
        </w:rPr>
        <w:object w:dxaOrig="520" w:dyaOrig="380" w14:anchorId="7CC58B65">
          <v:shape id="_x0000_i1030" type="#_x0000_t75" style="width:26.25pt;height:18.75pt" o:ole="">
            <v:imagedata r:id="rId18" o:title=""/>
          </v:shape>
          <o:OLEObject Type="Embed" ProgID="Equation.3" ShapeID="_x0000_i1030" DrawAspect="Content" ObjectID="_1545491459" r:id="rId19"/>
        </w:object>
      </w:r>
      <w:r w:rsidR="00CC2566" w:rsidRPr="00DF3AC4">
        <w:rPr>
          <w:lang w:val="en-US"/>
        </w:rPr>
        <w:t xml:space="preserve"> in the </w:t>
      </w:r>
      <w:proofErr w:type="spellStart"/>
      <w:r w:rsidR="00CC2566" w:rsidRPr="00DF3AC4">
        <w:rPr>
          <w:lang w:val="en-US"/>
        </w:rPr>
        <w:t>NLoS</w:t>
      </w:r>
      <w:proofErr w:type="spellEnd"/>
      <w:r w:rsidR="00CC2566" w:rsidRPr="00DF3AC4">
        <w:rPr>
          <w:lang w:val="en-US"/>
        </w:rPr>
        <w:t xml:space="preserve"> </w:t>
      </w:r>
      <w:proofErr w:type="gramStart"/>
      <w:r w:rsidR="00CC2566" w:rsidRPr="00DF3AC4">
        <w:rPr>
          <w:lang w:val="en-US"/>
        </w:rPr>
        <w:t xml:space="preserve">case  </w:t>
      </w:r>
      <w:r w:rsidR="00860034" w:rsidRPr="00DF3AC4">
        <w:rPr>
          <w:lang w:val="en-US"/>
        </w:rPr>
        <w:t>(</w:t>
      </w:r>
      <w:proofErr w:type="gramEnd"/>
      <w:r w:rsidR="00860034" w:rsidRPr="003D4773">
        <w:rPr>
          <w:position w:val="-14"/>
          <w:lang w:val="en-US"/>
        </w:rPr>
        <w:object w:dxaOrig="1160" w:dyaOrig="380" w14:anchorId="4181A0FF">
          <v:shape id="_x0000_i1031" type="#_x0000_t75" style="width:57.75pt;height:18.75pt" o:ole="">
            <v:imagedata r:id="rId20" o:title=""/>
          </v:shape>
          <o:OLEObject Type="Embed" ProgID="Equation.3" ShapeID="_x0000_i1031" DrawAspect="Content" ObjectID="_1545491460" r:id="rId21"/>
        </w:object>
      </w:r>
      <w:r w:rsidR="00860034" w:rsidRPr="00DF3AC4">
        <w:rPr>
          <w:lang w:val="en-US"/>
        </w:rPr>
        <w:t xml:space="preserve">and </w:t>
      </w:r>
      <w:r w:rsidR="00860034" w:rsidRPr="003D4773">
        <w:rPr>
          <w:position w:val="-14"/>
          <w:lang w:val="en-US"/>
        </w:rPr>
        <w:object w:dxaOrig="1200" w:dyaOrig="380" w14:anchorId="250A217E">
          <v:shape id="_x0000_i1032" type="#_x0000_t75" style="width:60pt;height:18.75pt" o:ole="">
            <v:imagedata r:id="rId22" o:title=""/>
          </v:shape>
          <o:OLEObject Type="Embed" ProgID="Equation.3" ShapeID="_x0000_i1032" DrawAspect="Content" ObjectID="_1545491461" r:id="rId23"/>
        </w:object>
      </w:r>
      <w:r w:rsidR="00860034" w:rsidRPr="00DF3AC4">
        <w:rPr>
          <w:lang w:val="en-US"/>
        </w:rPr>
        <w:t xml:space="preserve">for the </w:t>
      </w:r>
      <w:proofErr w:type="spellStart"/>
      <w:r w:rsidR="00860034" w:rsidRPr="00DF3AC4">
        <w:rPr>
          <w:lang w:val="en-US"/>
        </w:rPr>
        <w:t>LoS</w:t>
      </w:r>
      <w:proofErr w:type="spellEnd"/>
      <w:r w:rsidR="00860034" w:rsidRPr="00DF3AC4">
        <w:rPr>
          <w:lang w:val="en-US"/>
        </w:rPr>
        <w:t xml:space="preserve"> case) </w:t>
      </w:r>
      <w:r w:rsidR="00860034">
        <w:rPr>
          <w:lang w:eastAsia="ko-KR"/>
        </w:rPr>
        <w:t>and plus sign is applied for the other</w:t>
      </w:r>
      <w:r w:rsidR="00CC2566">
        <w:rPr>
          <w:lang w:eastAsia="ko-KR"/>
        </w:rPr>
        <w:t xml:space="preserve"> edge</w:t>
      </w:r>
      <w:r w:rsidR="00860034" w:rsidRPr="00946159">
        <w:rPr>
          <w:lang w:eastAsia="ko-KR"/>
        </w:rPr>
        <w:t xml:space="preserve">.  </w:t>
      </w:r>
      <w:r>
        <w:rPr>
          <w:lang w:eastAsia="ko-KR"/>
        </w:rPr>
        <w:t xml:space="preserve">(iii) </w:t>
      </w:r>
      <w:r w:rsidR="00860034">
        <w:rPr>
          <w:lang w:eastAsia="ko-KR"/>
        </w:rPr>
        <w:t>I</w:t>
      </w:r>
      <w:r w:rsidR="00860034" w:rsidRPr="00681994">
        <w:rPr>
          <w:lang w:eastAsia="ko-KR"/>
        </w:rPr>
        <w:t xml:space="preserve">f the </w:t>
      </w:r>
      <w:r w:rsidR="00860034">
        <w:rPr>
          <w:lang w:eastAsia="ko-KR"/>
        </w:rPr>
        <w:t>sub-path intersects the screen plus signs are applied</w:t>
      </w:r>
      <w:r w:rsidR="00CC2566">
        <w:rPr>
          <w:lang w:eastAsia="ko-KR"/>
        </w:rPr>
        <w:t xml:space="preserve"> for both edges</w:t>
      </w:r>
      <w:r w:rsidR="00860034">
        <w:rPr>
          <w:lang w:eastAsia="ko-KR"/>
        </w:rPr>
        <w:t>.</w:t>
      </w:r>
      <w:bookmarkEnd w:id="15"/>
      <w:bookmarkEnd w:id="16"/>
      <w:bookmarkEnd w:id="17"/>
    </w:p>
    <w:p w14:paraId="75C8345F" w14:textId="28969A4E" w:rsidR="00D02ECB" w:rsidRDefault="00BC6E37" w:rsidP="00A61A3C">
      <w:r>
        <w:t>Th</w:t>
      </w:r>
      <w:r w:rsidR="00D02ECB">
        <w:t>e above</w:t>
      </w:r>
      <w:r>
        <w:t xml:space="preserve"> </w:t>
      </w:r>
      <w:r w:rsidR="00DF3AC4">
        <w:t>rule</w:t>
      </w:r>
      <w:r>
        <w:t xml:space="preserve"> </w:t>
      </w:r>
      <w:r w:rsidR="00DF3AC4">
        <w:t>fixes</w:t>
      </w:r>
      <w:r>
        <w:t xml:space="preserve"> the problem for the blockers situated near the receiver. For the blockers that move close to the transmitter, a similar rule </w:t>
      </w:r>
      <w:proofErr w:type="gramStart"/>
      <w:r>
        <w:t>has to</w:t>
      </w:r>
      <w:proofErr w:type="gramEnd"/>
      <w:r>
        <w:t xml:space="preserve"> be designed. However, </w:t>
      </w:r>
      <w:r w:rsidR="00796633">
        <w:t xml:space="preserve">as </w:t>
      </w:r>
      <w:r>
        <w:t xml:space="preserve">such procedure is not specified </w:t>
      </w:r>
      <w:r w:rsidR="00796633">
        <w:t xml:space="preserve">in the current version of the TR, it is omitted in the </w:t>
      </w:r>
      <w:r w:rsidR="00D02ECB">
        <w:t>present</w:t>
      </w:r>
      <w:r w:rsidR="00796633">
        <w:t xml:space="preserve"> contribution as well</w:t>
      </w:r>
      <w:r w:rsidR="00CB6DEA">
        <w:t>.</w:t>
      </w:r>
      <w:r w:rsidR="00D02ECB">
        <w:t xml:space="preserve"> </w:t>
      </w:r>
    </w:p>
    <w:p w14:paraId="4293A00C" w14:textId="5EB7481E" w:rsidR="00C244BD" w:rsidRDefault="00C244BD" w:rsidP="00C244BD">
      <w:pPr>
        <w:pStyle w:val="Heading2"/>
      </w:pPr>
      <w:r>
        <w:t>Model calibration</w:t>
      </w:r>
    </w:p>
    <w:p w14:paraId="72488B11" w14:textId="250EC6CC" w:rsidR="00C244BD" w:rsidRDefault="00C244BD" w:rsidP="00C244BD">
      <w:r>
        <w:t xml:space="preserve">The assumptions suggested for the calibration of Model B are stated in Table 7.8-6 of </w:t>
      </w:r>
      <w:r>
        <w:fldChar w:fldCharType="begin"/>
      </w:r>
      <w:r>
        <w:instrText xml:space="preserve"> REF _Ref471120736 \r \h </w:instrText>
      </w:r>
      <w:r>
        <w:fldChar w:fldCharType="separate"/>
      </w:r>
      <w:r>
        <w:t>[1]</w:t>
      </w:r>
      <w:r>
        <w:fldChar w:fldCharType="end"/>
      </w:r>
      <w:r>
        <w:t xml:space="preserve">. </w:t>
      </w:r>
      <w:r w:rsidR="00B149FD">
        <w:t xml:space="preserve">In the assumptions the suggested size of the screen is slightly ambiguous. </w:t>
      </w:r>
      <w:proofErr w:type="gramStart"/>
      <w:r w:rsidR="00B149FD">
        <w:t>Therefore</w:t>
      </w:r>
      <w:proofErr w:type="gramEnd"/>
      <w:r w:rsidR="00B149FD">
        <w:t xml:space="preserve"> it is proposed to specify the exact dimensions as follows.</w:t>
      </w:r>
    </w:p>
    <w:p w14:paraId="6E04BD82" w14:textId="249FB2F9" w:rsidR="00B149FD" w:rsidRDefault="00B149FD" w:rsidP="00B149FD">
      <w:pPr>
        <w:pStyle w:val="Proposal"/>
      </w:pPr>
      <w:bookmarkStart w:id="19" w:name="_Toc471488918"/>
      <w:bookmarkStart w:id="20" w:name="_Toc471725960"/>
      <w:bookmarkStart w:id="21" w:name="_Toc471729793"/>
      <w:r>
        <w:t>In Table 7.8-6</w:t>
      </w:r>
      <w:r w:rsidR="00B64EB7">
        <w:t>,</w:t>
      </w:r>
      <w:r>
        <w:t xml:space="preserve"> specify the exact sizes of the blocker screen, i.e., “Drop a blocking screen of </w:t>
      </w:r>
      <w:r w:rsidRPr="00B149FD">
        <w:rPr>
          <w:u w:val="single"/>
        </w:rPr>
        <w:t>height 10m and width 2m</w:t>
      </w:r>
      <w:r w:rsidRPr="00DF3AC4">
        <w:rPr>
          <w:u w:val="single"/>
        </w:rPr>
        <w:t xml:space="preserve"> </w:t>
      </w:r>
      <w:r w:rsidR="00DF3AC4" w:rsidRPr="00DF3AC4">
        <w:rPr>
          <w:u w:val="single"/>
        </w:rPr>
        <w:t>at</w:t>
      </w:r>
      <w:r>
        <w:t xml:space="preserve"> (80, 10, 1.5)”</w:t>
      </w:r>
      <w:bookmarkEnd w:id="19"/>
      <w:bookmarkEnd w:id="20"/>
      <w:bookmarkEnd w:id="21"/>
    </w:p>
    <w:p w14:paraId="0F26BBE9" w14:textId="333F711E" w:rsidR="0038591C" w:rsidRDefault="00BA43D3" w:rsidP="00BA43D3">
      <w:r>
        <w:t xml:space="preserve">In addition to the above, </w:t>
      </w:r>
      <w:r w:rsidR="0038591C">
        <w:t xml:space="preserve">it has been observed during the implementation, that the utilization of the CDL-A model, where the paths are </w:t>
      </w:r>
      <w:proofErr w:type="spellStart"/>
      <w:r w:rsidR="0038591C">
        <w:t>NLoS</w:t>
      </w:r>
      <w:proofErr w:type="spellEnd"/>
      <w:r w:rsidR="0038591C">
        <w:t xml:space="preserve"> and have a quite large angular spread, might downgrade the effect of actual blockage. In this respect, the CDL-E model with a strong specular component might be a better choice. Therefore, the following is proposed.</w:t>
      </w:r>
    </w:p>
    <w:p w14:paraId="13D23E01" w14:textId="1C2ACEE1" w:rsidR="0038591C" w:rsidRDefault="0038591C" w:rsidP="0038591C">
      <w:pPr>
        <w:pStyle w:val="Proposal"/>
      </w:pPr>
      <w:bookmarkStart w:id="22" w:name="_Toc471729794"/>
      <w:r>
        <w:t>In Table 7.8-6, change the channel model from CDL-A to CDL-E for better visibility of the blockage effect during the calibrations.</w:t>
      </w:r>
      <w:bookmarkEnd w:id="22"/>
    </w:p>
    <w:p w14:paraId="79B52E3C" w14:textId="429A29BB" w:rsidR="00BA43D3" w:rsidRDefault="0038591C" w:rsidP="00BA43D3">
      <w:r>
        <w:t xml:space="preserve">Finally, </w:t>
      </w:r>
      <w:r w:rsidR="00BA43D3">
        <w:t xml:space="preserve">the translation-angle assumptions for the calibration </w:t>
      </w:r>
      <w:proofErr w:type="gramStart"/>
      <w:r w:rsidR="00BA43D3">
        <w:t>have to</w:t>
      </w:r>
      <w:proofErr w:type="gramEnd"/>
      <w:r w:rsidR="00BA43D3">
        <w:t xml:space="preserve"> be clarified. For instance, </w:t>
      </w:r>
      <w:r w:rsidR="00336CFE">
        <w:t xml:space="preserve">in the current TR version, it is unclear </w:t>
      </w:r>
      <w:r w:rsidR="00BA43D3">
        <w:t xml:space="preserve">how to rotate the </w:t>
      </w:r>
      <w:proofErr w:type="spellStart"/>
      <w:r w:rsidR="00336CFE">
        <w:t>A</w:t>
      </w:r>
      <w:r w:rsidR="00BA43D3">
        <w:t>oDs</w:t>
      </w:r>
      <w:proofErr w:type="spellEnd"/>
      <w:r w:rsidR="00BA43D3">
        <w:t xml:space="preserve"> and </w:t>
      </w:r>
      <w:proofErr w:type="spellStart"/>
      <w:r w:rsidR="00336CFE">
        <w:t>A</w:t>
      </w:r>
      <w:r w:rsidR="00BA43D3">
        <w:t>oAs</w:t>
      </w:r>
      <w:proofErr w:type="spellEnd"/>
      <w:r w:rsidR="00BA43D3">
        <w:t xml:space="preserve"> of the clusters </w:t>
      </w:r>
      <w:r w:rsidR="00B64EB7">
        <w:t>as</w:t>
      </w:r>
      <w:r w:rsidR="00BA43D3">
        <w:t xml:space="preserve"> the UT moves</w:t>
      </w:r>
      <w:r w:rsidR="00B64EB7">
        <w:t>.</w:t>
      </w:r>
      <w:r>
        <w:t xml:space="preserve"> Hence, w</w:t>
      </w:r>
      <w:r w:rsidR="00B64EB7">
        <w:t>e propose the following</w:t>
      </w:r>
      <w:r w:rsidR="004E0587">
        <w:t xml:space="preserve"> change</w:t>
      </w:r>
      <w:r w:rsidR="00B64EB7">
        <w:t>.</w:t>
      </w:r>
    </w:p>
    <w:p w14:paraId="670E2C69" w14:textId="2377DFC8" w:rsidR="00B64EB7" w:rsidRDefault="00B64EB7" w:rsidP="00B64EB7">
      <w:pPr>
        <w:pStyle w:val="Proposal"/>
      </w:pPr>
      <w:bookmarkStart w:id="23" w:name="_Toc471725961"/>
      <w:bookmarkStart w:id="24" w:name="_Toc471729795"/>
      <w:r>
        <w:t xml:space="preserve">In Table 7.8-6, specify the translation-angle assumptions by adding the following statement: </w:t>
      </w:r>
      <w:r w:rsidRPr="00B64EB7">
        <w:rPr>
          <w:u w:val="single"/>
        </w:rPr>
        <w:t>“</w:t>
      </w:r>
      <w:r w:rsidRPr="00B64EB7">
        <w:rPr>
          <w:rFonts w:hint="eastAsia"/>
          <w:u w:val="single"/>
        </w:rPr>
        <w:t xml:space="preserve">For each UT position, translate the </w:t>
      </w:r>
      <w:proofErr w:type="spellStart"/>
      <w:r w:rsidRPr="00B64EB7">
        <w:rPr>
          <w:rFonts w:hint="eastAsia"/>
          <w:u w:val="single"/>
        </w:rPr>
        <w:t>AoDs</w:t>
      </w:r>
      <w:proofErr w:type="spellEnd"/>
      <w:r w:rsidRPr="00B64EB7">
        <w:rPr>
          <w:rFonts w:hint="eastAsia"/>
          <w:u w:val="single"/>
        </w:rPr>
        <w:t xml:space="preserve"> and </w:t>
      </w:r>
      <w:proofErr w:type="spellStart"/>
      <w:r w:rsidRPr="00B64EB7">
        <w:rPr>
          <w:rFonts w:hint="eastAsia"/>
          <w:u w:val="single"/>
        </w:rPr>
        <w:t>AoAs</w:t>
      </w:r>
      <w:proofErr w:type="spellEnd"/>
      <w:r w:rsidRPr="00B64EB7">
        <w:rPr>
          <w:rFonts w:hint="eastAsia"/>
          <w:u w:val="single"/>
        </w:rPr>
        <w:t xml:space="preserve"> of CDL-E such that the LOS path is pointing along the direct path between the BS and UT</w:t>
      </w:r>
      <w:r w:rsidRPr="00B64EB7">
        <w:rPr>
          <w:u w:val="single"/>
        </w:rPr>
        <w:t>”</w:t>
      </w:r>
      <w:bookmarkEnd w:id="23"/>
      <w:bookmarkEnd w:id="24"/>
    </w:p>
    <w:p w14:paraId="13EB99D5" w14:textId="0CB81B77" w:rsidR="0035797E" w:rsidRDefault="000E77EC" w:rsidP="000E77EC">
      <w:pPr>
        <w:pStyle w:val="Heading1"/>
      </w:pPr>
      <w:r>
        <w:t>Calibration results</w:t>
      </w:r>
    </w:p>
    <w:p w14:paraId="04BCCBD2" w14:textId="30F6AF0A" w:rsidR="00770A97" w:rsidRDefault="00752F9E" w:rsidP="0035797E">
      <w:r>
        <w:t xml:space="preserve">To test the implementation of the blockage model we have run an exemplary simulation with the layout set </w:t>
      </w:r>
      <w:proofErr w:type="gramStart"/>
      <w:r>
        <w:t>according to</w:t>
      </w:r>
      <w:proofErr w:type="gramEnd"/>
      <w:r>
        <w:t xml:space="preserve"> Table 7.8-6 of </w:t>
      </w:r>
      <w:r>
        <w:fldChar w:fldCharType="begin"/>
      </w:r>
      <w:r>
        <w:instrText xml:space="preserve"> REF _Ref471120736 \r \h </w:instrText>
      </w:r>
      <w:r>
        <w:fldChar w:fldCharType="separate"/>
      </w:r>
      <w:r>
        <w:t>[1]</w:t>
      </w:r>
      <w:r>
        <w:fldChar w:fldCharType="end"/>
      </w:r>
      <w:r>
        <w:t xml:space="preserve">. </w:t>
      </w:r>
      <w:r w:rsidR="00770A97">
        <w:t xml:space="preserve">The simulated setting consists of a base station (BS) placed at (0, 0, 30), a blocker screen of height 10m and width 2m placed at (80, 10, 1.5), and user </w:t>
      </w:r>
      <w:r w:rsidR="00A23024">
        <w:t>terminal</w:t>
      </w:r>
      <w:r w:rsidR="00770A97">
        <w:t xml:space="preserve"> (</w:t>
      </w:r>
      <w:r w:rsidR="00A23024">
        <w:t>UT</w:t>
      </w:r>
      <w:r w:rsidR="00770A97">
        <w:t>) moving from (100, 0, 1.5) to (100, 20, 1.5) in small increments of 0.1m.</w:t>
      </w:r>
    </w:p>
    <w:p w14:paraId="057B0528" w14:textId="1D190B32" w:rsidR="00C675E5" w:rsidRDefault="00770A97" w:rsidP="00C675E5">
      <w:r>
        <w:t>The rays have been generated via the CDL-</w:t>
      </w:r>
      <w:r w:rsidR="000A7C9E">
        <w:t>E</w:t>
      </w:r>
      <w:r>
        <w:t xml:space="preserve"> model, given in Table 7.7.1-</w:t>
      </w:r>
      <w:r w:rsidR="000A7C9E">
        <w:t>5</w:t>
      </w:r>
      <w:r>
        <w:t>, preserving the original spread</w:t>
      </w:r>
      <w:r w:rsidR="00C675E5">
        <w:t xml:space="preserve">, with the </w:t>
      </w:r>
      <w:r w:rsidR="000A7C9E">
        <w:t>specular</w:t>
      </w:r>
      <w:r w:rsidR="00C675E5">
        <w:t xml:space="preserve"> </w:t>
      </w:r>
      <w:r w:rsidR="00352E09">
        <w:t>cluster</w:t>
      </w:r>
      <w:r w:rsidR="00C675E5">
        <w:t xml:space="preserve"> aligned with</w:t>
      </w:r>
      <w:r>
        <w:t xml:space="preserve"> the </w:t>
      </w:r>
      <w:r w:rsidR="00352E09">
        <w:t xml:space="preserve">changing </w:t>
      </w:r>
      <w:proofErr w:type="spellStart"/>
      <w:r>
        <w:t>LoS</w:t>
      </w:r>
      <w:proofErr w:type="spellEnd"/>
      <w:r>
        <w:t xml:space="preserve"> direction. A translational angle has been applied to compensate for the </w:t>
      </w:r>
      <w:r w:rsidR="00B64EB7">
        <w:t>UT</w:t>
      </w:r>
      <w:r>
        <w:t xml:space="preserve"> movement, and rotate the rays around the </w:t>
      </w:r>
      <w:proofErr w:type="spellStart"/>
      <w:r>
        <w:t>LoS</w:t>
      </w:r>
      <w:proofErr w:type="spellEnd"/>
      <w:r>
        <w:t xml:space="preserve"> </w:t>
      </w:r>
      <w:r w:rsidR="00352E09">
        <w:t>path</w:t>
      </w:r>
      <w:r>
        <w:t>.</w:t>
      </w:r>
      <w:r w:rsidR="00762917">
        <w:t xml:space="preserve"> </w:t>
      </w:r>
      <w:r w:rsidR="007618C8">
        <w:fldChar w:fldCharType="begin"/>
      </w:r>
      <w:r w:rsidR="007618C8">
        <w:instrText xml:space="preserve"> REF _Ref471136277 \h </w:instrText>
      </w:r>
      <w:r w:rsidR="007618C8">
        <w:fldChar w:fldCharType="separate"/>
      </w:r>
      <w:r w:rsidR="007618C8">
        <w:t xml:space="preserve">Figure </w:t>
      </w:r>
      <w:r w:rsidR="007618C8">
        <w:rPr>
          <w:noProof/>
        </w:rPr>
        <w:t>3</w:t>
      </w:r>
      <w:r w:rsidR="007618C8">
        <w:fldChar w:fldCharType="end"/>
      </w:r>
      <w:r w:rsidR="007618C8">
        <w:t xml:space="preserve"> below depict</w:t>
      </w:r>
      <w:r w:rsidR="00945817">
        <w:t>s</w:t>
      </w:r>
      <w:r w:rsidR="007618C8">
        <w:t xml:space="preserve"> the behaviour of the received power with the </w:t>
      </w:r>
      <w:r w:rsidR="00205FBC">
        <w:t>UT</w:t>
      </w:r>
      <w:r w:rsidR="007618C8">
        <w:t>’s movement</w:t>
      </w:r>
      <w:r w:rsidR="000A7C9E">
        <w:t xml:space="preserve">, including the shape of the </w:t>
      </w:r>
      <w:r w:rsidR="008B4EE1">
        <w:t xml:space="preserve">static </w:t>
      </w:r>
      <w:r w:rsidR="000A7C9E">
        <w:t>radiation pattern of the antenna array at the BS</w:t>
      </w:r>
      <w:r w:rsidR="007618C8">
        <w:t xml:space="preserve">. Eventually, the </w:t>
      </w:r>
      <w:r w:rsidR="00205FBC">
        <w:t>UT</w:t>
      </w:r>
      <w:r w:rsidR="007618C8">
        <w:t xml:space="preserve"> becomes blocked by the screen, which leads</w:t>
      </w:r>
      <w:r w:rsidR="00C675E5">
        <w:t xml:space="preserve"> to a </w:t>
      </w:r>
      <w:r w:rsidR="000A7C9E">
        <w:t xml:space="preserve">noticeable </w:t>
      </w:r>
      <w:r w:rsidR="00C675E5">
        <w:t xml:space="preserve">dip </w:t>
      </w:r>
      <w:r w:rsidR="000A7C9E">
        <w:t xml:space="preserve">of 13 dB </w:t>
      </w:r>
      <w:r w:rsidR="00C675E5">
        <w:t>in the received power</w:t>
      </w:r>
      <w:r w:rsidR="00856A54">
        <w:t>.</w:t>
      </w:r>
      <w:r w:rsidR="000A7C9E">
        <w:t xml:space="preserve"> </w:t>
      </w:r>
    </w:p>
    <w:p w14:paraId="714DEC2E" w14:textId="65583E23" w:rsidR="007618C8" w:rsidRDefault="00C675E5" w:rsidP="00C675E5">
      <w:pPr>
        <w:jc w:val="center"/>
      </w:pPr>
      <w:r>
        <w:rPr>
          <w:noProof/>
          <w:lang w:val="sv-SE" w:eastAsia="sv-SE"/>
        </w:rPr>
        <w:lastRenderedPageBreak/>
        <w:drawing>
          <wp:inline distT="0" distB="0" distL="0" distR="0" wp14:anchorId="7D3179D0" wp14:editId="2B6B6C6F">
            <wp:extent cx="2880000" cy="2158844"/>
            <wp:effectExtent l="0" t="0" r="0" b="0"/>
            <wp:docPr id="6" name="Picture 6" descr="C:\Users\emakgir\Desktop\Ongoing studies\20161116 - 5G channel blockage models in APL\callibrationCdlEPatternMax.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C:\Users\emakgir\Desktop\Ongoing studies\20161116 - 5G channel blockage models in APL\callibrationCdlEPatternMax.em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2158844"/>
                    </a:xfrm>
                    <a:prstGeom prst="rect">
                      <a:avLst/>
                    </a:prstGeom>
                    <a:noFill/>
                    <a:ln>
                      <a:noFill/>
                    </a:ln>
                  </pic:spPr>
                </pic:pic>
              </a:graphicData>
            </a:graphic>
          </wp:inline>
        </w:drawing>
      </w:r>
    </w:p>
    <w:p w14:paraId="0E5A1663" w14:textId="4F50204E" w:rsidR="00770A97" w:rsidRDefault="007618C8" w:rsidP="007618C8">
      <w:pPr>
        <w:pStyle w:val="Caption"/>
      </w:pPr>
      <w:bookmarkStart w:id="25" w:name="_Ref471136277"/>
      <w:r>
        <w:t xml:space="preserve">Figure </w:t>
      </w:r>
      <w:r>
        <w:fldChar w:fldCharType="begin"/>
      </w:r>
      <w:r>
        <w:instrText xml:space="preserve"> SEQ Figure \* ARABIC </w:instrText>
      </w:r>
      <w:r>
        <w:fldChar w:fldCharType="separate"/>
      </w:r>
      <w:r w:rsidR="00CA4585">
        <w:rPr>
          <w:noProof/>
        </w:rPr>
        <w:t>3</w:t>
      </w:r>
      <w:r>
        <w:fldChar w:fldCharType="end"/>
      </w:r>
      <w:bookmarkEnd w:id="25"/>
      <w:r>
        <w:t xml:space="preserve"> Power loss </w:t>
      </w:r>
      <w:r w:rsidR="00CA4585">
        <w:t>vs.</w:t>
      </w:r>
      <w:r>
        <w:t xml:space="preserve"> time</w:t>
      </w:r>
      <w:r w:rsidR="000A7C9E">
        <w:t xml:space="preserve"> for CDL-E</w:t>
      </w:r>
      <w:r w:rsidR="00CA4585">
        <w:t xml:space="preserve"> scenario,</w:t>
      </w:r>
      <w:r>
        <w:t xml:space="preserve"> illustrating the effect of eventual link blockage</w:t>
      </w:r>
    </w:p>
    <w:p w14:paraId="24961BD9" w14:textId="4A41C19F" w:rsidR="00CA4585" w:rsidRDefault="00FB1C84" w:rsidP="0035797E">
      <w:pPr>
        <w:pStyle w:val="Observation"/>
      </w:pPr>
      <w:bookmarkStart w:id="26" w:name="_Toc471725963"/>
      <w:r>
        <w:t xml:space="preserve">Blockage </w:t>
      </w:r>
      <w:r w:rsidR="00C675E5">
        <w:t>might have</w:t>
      </w:r>
      <w:r>
        <w:t xml:space="preserve"> effect </w:t>
      </w:r>
      <w:r w:rsidR="00762917">
        <w:t>on the system performance</w:t>
      </w:r>
      <w:r w:rsidR="0038001D">
        <w:t xml:space="preserve">, </w:t>
      </w:r>
      <w:r w:rsidR="00762917">
        <w:t xml:space="preserve">especially for the higher-frequency bands where large antenna arrays are </w:t>
      </w:r>
      <w:r w:rsidR="008E626E">
        <w:t>foreseen</w:t>
      </w:r>
      <w:r w:rsidR="00762917">
        <w:t>.</w:t>
      </w:r>
      <w:bookmarkEnd w:id="26"/>
    </w:p>
    <w:p w14:paraId="0E9C03FF" w14:textId="77777777" w:rsidR="00C01F33" w:rsidRPr="00CE0424" w:rsidRDefault="00C01F33" w:rsidP="003A0E41">
      <w:pPr>
        <w:pStyle w:val="Heading1"/>
      </w:pPr>
      <w:r w:rsidRPr="00CE0424">
        <w:t>Conclusion</w:t>
      </w:r>
      <w:r w:rsidR="00AE2FEB">
        <w:t>s</w:t>
      </w:r>
    </w:p>
    <w:p w14:paraId="12520995" w14:textId="5A20DF5C" w:rsidR="002451ED" w:rsidRDefault="003A0E41" w:rsidP="008E065E">
      <w:pPr>
        <w:pStyle w:val="BodyText"/>
      </w:pPr>
      <w:r>
        <w:t>In this contribution we made the following ob</w:t>
      </w:r>
      <w:r w:rsidR="004033B5">
        <w:t>s</w:t>
      </w:r>
      <w:r>
        <w:t>ervations</w:t>
      </w:r>
      <w:r w:rsidR="008E065E" w:rsidRPr="00CE0424">
        <w:t>:</w:t>
      </w:r>
    </w:p>
    <w:p w14:paraId="29635A27" w14:textId="69FBB2EA" w:rsidR="00EA7BB4"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1725962" w:history="1">
        <w:r w:rsidR="00EA7BB4" w:rsidRPr="00CA50BA">
          <w:rPr>
            <w:rStyle w:val="Hyperlink"/>
          </w:rPr>
          <w:t>Observation 1</w:t>
        </w:r>
        <w:r w:rsidR="00EA7BB4">
          <w:rPr>
            <w:rFonts w:asciiTheme="minorHAnsi" w:eastAsiaTheme="minorEastAsia" w:hAnsiTheme="minorHAnsi" w:cstheme="minorBidi"/>
            <w:b w:val="0"/>
            <w:sz w:val="22"/>
            <w:lang w:val="sv-SE" w:eastAsia="sv-SE"/>
          </w:rPr>
          <w:tab/>
        </w:r>
        <w:r w:rsidR="00EA7BB4" w:rsidRPr="00CA50BA">
          <w:rPr>
            <w:rStyle w:val="Hyperlink"/>
          </w:rPr>
          <w:t>There is ambiguity in the description of Blockage Model B in the TR which should be removed for its efficient implementation and calibration.</w:t>
        </w:r>
      </w:hyperlink>
    </w:p>
    <w:p w14:paraId="63864DC0" w14:textId="73EEE5BC" w:rsidR="00EA7BB4" w:rsidRDefault="008F3084">
      <w:pPr>
        <w:pStyle w:val="TOC1"/>
        <w:rPr>
          <w:rFonts w:asciiTheme="minorHAnsi" w:eastAsiaTheme="minorEastAsia" w:hAnsiTheme="minorHAnsi" w:cstheme="minorBidi"/>
          <w:b w:val="0"/>
          <w:sz w:val="22"/>
          <w:lang w:val="sv-SE" w:eastAsia="sv-SE"/>
        </w:rPr>
      </w:pPr>
      <w:hyperlink w:anchor="_Toc471725963" w:history="1">
        <w:r w:rsidR="00EA7BB4" w:rsidRPr="00CA50BA">
          <w:rPr>
            <w:rStyle w:val="Hyperlink"/>
          </w:rPr>
          <w:t>Observation 2</w:t>
        </w:r>
        <w:r w:rsidR="00EA7BB4">
          <w:rPr>
            <w:rFonts w:asciiTheme="minorHAnsi" w:eastAsiaTheme="minorEastAsia" w:hAnsiTheme="minorHAnsi" w:cstheme="minorBidi"/>
            <w:b w:val="0"/>
            <w:sz w:val="22"/>
            <w:lang w:val="sv-SE" w:eastAsia="sv-SE"/>
          </w:rPr>
          <w:tab/>
        </w:r>
        <w:r w:rsidR="00EA7BB4" w:rsidRPr="00CA50BA">
          <w:rPr>
            <w:rStyle w:val="Hyperlink"/>
          </w:rPr>
          <w:t>Blockage might have effect on the system performance, especially for the higher-frequency bands where large antenna arrays are foreseen.</w:t>
        </w:r>
      </w:hyperlink>
    </w:p>
    <w:p w14:paraId="70465897" w14:textId="4910ED10" w:rsidR="008E065E" w:rsidRDefault="00E5689D" w:rsidP="008E065E">
      <w:pPr>
        <w:pStyle w:val="BodyText"/>
        <w:rPr>
          <w:b/>
          <w:bCs/>
        </w:rPr>
      </w:pPr>
      <w:r>
        <w:rPr>
          <w:bCs/>
          <w:noProof/>
          <w:szCs w:val="22"/>
          <w:lang w:val="en-US"/>
        </w:rPr>
        <w:fldChar w:fldCharType="end"/>
      </w:r>
    </w:p>
    <w:p w14:paraId="258ADD9A" w14:textId="77777777" w:rsidR="006D60CC"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7E2BC3D1" w14:textId="77777777" w:rsidR="006D60CC" w:rsidRPr="006D60CC" w:rsidRDefault="006D60CC">
      <w:pPr>
        <w:pStyle w:val="TOC1"/>
        <w:rPr>
          <w:rFonts w:asciiTheme="minorHAnsi" w:eastAsiaTheme="minorEastAsia" w:hAnsiTheme="minorHAnsi" w:cstheme="minorBidi"/>
          <w:b w:val="0"/>
          <w:sz w:val="22"/>
          <w:lang w:eastAsia="sv-SE"/>
        </w:rPr>
      </w:pPr>
      <w:r>
        <w:lastRenderedPageBreak/>
        <w:t>Proposal 1</w:t>
      </w:r>
      <w:r w:rsidRPr="006D60CC">
        <w:rPr>
          <w:rFonts w:asciiTheme="minorHAnsi" w:eastAsiaTheme="minorEastAsia" w:hAnsiTheme="minorHAnsi" w:cstheme="minorBidi"/>
          <w:b w:val="0"/>
          <w:sz w:val="22"/>
          <w:lang w:eastAsia="sv-SE"/>
        </w:rPr>
        <w:tab/>
      </w:r>
      <w:r>
        <w:t xml:space="preserve">Add to the description that each screen is “…rotated around its centre such that the arrival direction of </w:t>
      </w:r>
      <w:r>
        <w:rPr>
          <w:lang w:eastAsia="ko-KR"/>
        </w:rPr>
        <w:t xml:space="preserve">the corresponding path </w:t>
      </w:r>
      <w:r>
        <w:t>is always perpendicular to the screen</w:t>
      </w:r>
      <w:r w:rsidRPr="0039195A">
        <w:rPr>
          <w:u w:val="single"/>
        </w:rPr>
        <w:t>, and the base and top edges of the screen are parallel to the horizontal ground plane</w:t>
      </w:r>
      <w:r>
        <w:t>”</w:t>
      </w:r>
    </w:p>
    <w:p w14:paraId="70041532" w14:textId="77777777" w:rsidR="006D60CC" w:rsidRPr="006D60CC" w:rsidRDefault="006D60CC">
      <w:pPr>
        <w:pStyle w:val="TOC1"/>
        <w:rPr>
          <w:rFonts w:asciiTheme="minorHAnsi" w:eastAsiaTheme="minorEastAsia" w:hAnsiTheme="minorHAnsi" w:cstheme="minorBidi"/>
          <w:b w:val="0"/>
          <w:sz w:val="22"/>
          <w:lang w:eastAsia="sv-SE"/>
        </w:rPr>
      </w:pPr>
      <w:r>
        <w:t>Proposal 2</w:t>
      </w:r>
      <w:r w:rsidRPr="006D60CC">
        <w:rPr>
          <w:rFonts w:asciiTheme="minorHAnsi" w:eastAsiaTheme="minorEastAsia" w:hAnsiTheme="minorHAnsi" w:cstheme="minorBidi"/>
          <w:b w:val="0"/>
          <w:sz w:val="22"/>
          <w:lang w:eastAsia="sv-SE"/>
        </w:rPr>
        <w:tab/>
      </w:r>
      <w:r>
        <w:t xml:space="preserve">Rename Step b in Section 7.6.4.2 to </w:t>
      </w:r>
      <w:r w:rsidRPr="0039195A">
        <w:rPr>
          <w:u w:val="single"/>
        </w:rPr>
        <w:t>“Determine the blockage attenuation per sub-path”</w:t>
      </w:r>
    </w:p>
    <w:p w14:paraId="67AE2210" w14:textId="77777777" w:rsidR="006D60CC" w:rsidRPr="006D60CC" w:rsidRDefault="006D60CC">
      <w:pPr>
        <w:pStyle w:val="TOC1"/>
        <w:rPr>
          <w:rFonts w:asciiTheme="minorHAnsi" w:eastAsiaTheme="minorEastAsia" w:hAnsiTheme="minorHAnsi" w:cstheme="minorBidi"/>
          <w:b w:val="0"/>
          <w:sz w:val="22"/>
          <w:lang w:eastAsia="sv-SE"/>
        </w:rPr>
      </w:pPr>
      <w:r>
        <w:t>Proposal 3</w:t>
      </w:r>
      <w:r w:rsidRPr="006D60CC">
        <w:rPr>
          <w:rFonts w:asciiTheme="minorHAnsi" w:eastAsiaTheme="minorEastAsia" w:hAnsiTheme="minorHAnsi" w:cstheme="minorBidi"/>
          <w:b w:val="0"/>
          <w:sz w:val="22"/>
          <w:lang w:eastAsia="sv-SE"/>
        </w:rPr>
        <w:tab/>
      </w:r>
      <w:r>
        <w:t xml:space="preserve">Define two projection planes: (a) top view and (b) side view, both perpendicular to the screen. The side view plane is perpendicular to the horizontal ground plane. The top view is perpendicular to the side view. Add to the TR text “…[a]s shown in Figure 7.6.4-2, </w:t>
      </w:r>
      <m:oMath>
        <m:r>
          <m:rPr>
            <m:sty m:val="b"/>
          </m:rPr>
          <w:rPr>
            <w:rFonts w:ascii="Cambria Math" w:hAnsi="Cambria Math"/>
          </w:rPr>
          <m:t>D1h1h2w1|w2</m:t>
        </m:r>
      </m:oMath>
      <w:r>
        <w:rPr>
          <w:lang w:eastAsia="ko-KR"/>
        </w:rPr>
        <w:t xml:space="preserve"> are the projected </w:t>
      </w:r>
      <w:r w:rsidRPr="0039195A">
        <w:rPr>
          <w:u w:val="single"/>
          <w:lang w:eastAsia="ko-KR"/>
        </w:rPr>
        <w:t>(onto the top and side view planes)</w:t>
      </w:r>
      <w:r>
        <w:rPr>
          <w:lang w:eastAsia="ko-KR"/>
        </w:rPr>
        <w:t xml:space="preserve"> distances between the receiver and four edges of the corresponding blocker</w:t>
      </w:r>
      <w:r>
        <w:t xml:space="preserve">, and </w:t>
      </w:r>
      <m:oMath>
        <m:r>
          <m:rPr>
            <m:sty m:val="b"/>
          </m:rPr>
          <w:rPr>
            <w:rFonts w:ascii="Cambria Math" w:hAnsi="Cambria Math"/>
          </w:rPr>
          <m:t xml:space="preserve">D2h1h2w1|w2 </m:t>
        </m:r>
      </m:oMath>
      <w:r>
        <w:rPr>
          <w:lang w:eastAsia="ko-KR"/>
        </w:rPr>
        <w:t xml:space="preserve">are the projected distances </w:t>
      </w:r>
      <w:r w:rsidRPr="0039195A">
        <w:rPr>
          <w:u w:val="single"/>
          <w:lang w:eastAsia="ko-KR"/>
        </w:rPr>
        <w:t>(onto the top and side view planes)</w:t>
      </w:r>
      <w:r>
        <w:rPr>
          <w:lang w:eastAsia="ko-KR"/>
        </w:rPr>
        <w:t xml:space="preserve"> between the </w:t>
      </w:r>
      <w:r>
        <w:t>transmitter</w:t>
      </w:r>
      <w:r>
        <w:rPr>
          <w:lang w:eastAsia="ko-KR"/>
        </w:rPr>
        <w:t xml:space="preserve"> and four edges of the corresponding blocker</w:t>
      </w:r>
      <w:r>
        <w:t>”</w:t>
      </w:r>
    </w:p>
    <w:p w14:paraId="1E5DA63E" w14:textId="77777777" w:rsidR="006D60CC" w:rsidRPr="006D60CC" w:rsidRDefault="006D60CC">
      <w:pPr>
        <w:pStyle w:val="TOC1"/>
        <w:rPr>
          <w:rFonts w:asciiTheme="minorHAnsi" w:eastAsiaTheme="minorEastAsia" w:hAnsiTheme="minorHAnsi" w:cstheme="minorBidi"/>
          <w:b w:val="0"/>
          <w:sz w:val="22"/>
          <w:lang w:eastAsia="sv-SE"/>
        </w:rPr>
      </w:pPr>
      <w:r>
        <w:t>Proposal 4</w:t>
      </w:r>
      <w:r w:rsidRPr="006D60CC">
        <w:rPr>
          <w:rFonts w:asciiTheme="minorHAnsi" w:eastAsiaTheme="minorEastAsia" w:hAnsiTheme="minorHAnsi" w:cstheme="minorBidi"/>
          <w:b w:val="0"/>
          <w:sz w:val="22"/>
          <w:lang w:eastAsia="sv-SE"/>
        </w:rPr>
        <w:tab/>
      </w:r>
      <w:r>
        <w:t xml:space="preserve">Add to the text “…r </w:t>
      </w:r>
      <w:r>
        <w:rPr>
          <w:lang w:eastAsia="ko-KR"/>
        </w:rPr>
        <w:t xml:space="preserve">is the distance </w:t>
      </w:r>
      <w:r>
        <w:t xml:space="preserve">between the transmitter and receiver for direct path in LOS, and is </w:t>
      </w:r>
      <w:r w:rsidRPr="0039195A">
        <w:rPr>
          <w:u w:val="single"/>
        </w:rPr>
        <w:t>the projection of</w:t>
      </w:r>
      <w:r>
        <w:t xml:space="preserve"> the distance between the blocker screen and</w:t>
      </w:r>
      <w:r>
        <w:rPr>
          <w:lang w:eastAsia="ko-KR"/>
        </w:rPr>
        <w:t xml:space="preserve"> receiver</w:t>
      </w:r>
      <w:r>
        <w:t xml:space="preserve"> </w:t>
      </w:r>
      <w:r w:rsidRPr="0039195A">
        <w:rPr>
          <w:u w:val="single"/>
        </w:rPr>
        <w:t>onto the incoming sub-path DoA</w:t>
      </w:r>
      <w:r>
        <w:t xml:space="preserve"> for all </w:t>
      </w:r>
      <w:r>
        <w:rPr>
          <w:lang w:eastAsia="ko-KR"/>
        </w:rPr>
        <w:t xml:space="preserve">the </w:t>
      </w:r>
      <w:r>
        <w:t>other paths”</w:t>
      </w:r>
    </w:p>
    <w:p w14:paraId="09BF579E" w14:textId="77777777" w:rsidR="006D60CC" w:rsidRPr="006D60CC" w:rsidRDefault="006D60CC">
      <w:pPr>
        <w:pStyle w:val="TOC1"/>
        <w:rPr>
          <w:rFonts w:asciiTheme="minorHAnsi" w:eastAsiaTheme="minorEastAsia" w:hAnsiTheme="minorHAnsi" w:cstheme="minorBidi"/>
          <w:b w:val="0"/>
          <w:sz w:val="22"/>
          <w:lang w:eastAsia="sv-SE"/>
        </w:rPr>
      </w:pPr>
      <w:r>
        <w:rPr>
          <w:lang w:eastAsia="ko-KR"/>
        </w:rPr>
        <w:t>Proposal 5</w:t>
      </w:r>
      <w:r w:rsidRPr="006D60CC">
        <w:rPr>
          <w:rFonts w:asciiTheme="minorHAnsi" w:eastAsiaTheme="minorEastAsia" w:hAnsiTheme="minorHAnsi" w:cstheme="minorBidi"/>
          <w:b w:val="0"/>
          <w:sz w:val="22"/>
          <w:lang w:eastAsia="sv-SE"/>
        </w:rPr>
        <w:tab/>
      </w:r>
      <w:r>
        <w:rPr>
          <w:lang w:eastAsia="ko-KR"/>
        </w:rPr>
        <w:t xml:space="preserve">Change the sign-determining conditions in the TR to the following three conditions: (i) If the sub-path doesn’t intersect the screen in side view, minus sign is applied for the shortest path among </w:t>
      </w:r>
      <w:r w:rsidRPr="003D4773">
        <w:rPr>
          <w:position w:val="-14"/>
        </w:rPr>
        <w:object w:dxaOrig="460" w:dyaOrig="380" w14:anchorId="5B641BBC">
          <v:shape id="_x0000_i1033" type="#_x0000_t75" style="width:23.25pt;height:18.75pt" o:ole="">
            <v:imagedata r:id="rId8" o:title=""/>
          </v:shape>
          <o:OLEObject Type="Embed" ProgID="Equation.3" ShapeID="_x0000_i1033" DrawAspect="Content" ObjectID="_1545491462" r:id="rId25"/>
        </w:object>
      </w:r>
      <w:r w:rsidRPr="0039195A">
        <w:t xml:space="preserve">and </w:t>
      </w:r>
      <w:r w:rsidRPr="003D4773">
        <w:rPr>
          <w:position w:val="-14"/>
        </w:rPr>
        <w:object w:dxaOrig="480" w:dyaOrig="380" w14:anchorId="2A88DD61">
          <v:shape id="_x0000_i1034" type="#_x0000_t75" style="width:24pt;height:18.75pt" o:ole="">
            <v:imagedata r:id="rId10" o:title=""/>
          </v:shape>
          <o:OLEObject Type="Embed" ProgID="Equation.3" ShapeID="_x0000_i1034" DrawAspect="Content" ObjectID="_1545491463" r:id="rId26"/>
        </w:object>
      </w:r>
      <w:r w:rsidRPr="0039195A">
        <w:t xml:space="preserve"> in the NLoS case  (</w:t>
      </w:r>
      <w:r w:rsidRPr="003D4773">
        <w:rPr>
          <w:position w:val="-14"/>
        </w:rPr>
        <w:object w:dxaOrig="1120" w:dyaOrig="380" w14:anchorId="5FA1A329">
          <v:shape id="_x0000_i1035" type="#_x0000_t75" style="width:56.25pt;height:18.75pt" o:ole="">
            <v:imagedata r:id="rId12" o:title=""/>
          </v:shape>
          <o:OLEObject Type="Embed" ProgID="Equation.3" ShapeID="_x0000_i1035" DrawAspect="Content" ObjectID="_1545491464" r:id="rId27"/>
        </w:object>
      </w:r>
      <w:r w:rsidRPr="0039195A">
        <w:t xml:space="preserve">and </w:t>
      </w:r>
      <w:r w:rsidRPr="003D4773">
        <w:rPr>
          <w:position w:val="-14"/>
        </w:rPr>
        <w:object w:dxaOrig="1160" w:dyaOrig="380" w14:anchorId="56FD3C53">
          <v:shape id="_x0000_i1036" type="#_x0000_t75" style="width:57.75pt;height:18.75pt" o:ole="">
            <v:imagedata r:id="rId14" o:title=""/>
          </v:shape>
          <o:OLEObject Type="Embed" ProgID="Equation.3" ShapeID="_x0000_i1036" DrawAspect="Content" ObjectID="_1545491465" r:id="rId28"/>
        </w:object>
      </w:r>
      <w:r w:rsidRPr="0039195A">
        <w:t xml:space="preserve">in the LoS case) </w:t>
      </w:r>
      <w:r>
        <w:rPr>
          <w:lang w:eastAsia="ko-KR"/>
        </w:rPr>
        <w:t xml:space="preserve">and plus sign is applied for the other edge. (ii) If the sub-path doesn’t intersect the screen in top view, minus sign is applied for the shortest path among </w:t>
      </w:r>
      <w:r w:rsidRPr="003D4773">
        <w:rPr>
          <w:position w:val="-14"/>
        </w:rPr>
        <w:object w:dxaOrig="499" w:dyaOrig="380" w14:anchorId="4C003396">
          <v:shape id="_x0000_i1037" type="#_x0000_t75" style="width:24.75pt;height:18.75pt" o:ole="">
            <v:imagedata r:id="rId16" o:title=""/>
          </v:shape>
          <o:OLEObject Type="Embed" ProgID="Equation.3" ShapeID="_x0000_i1037" DrawAspect="Content" ObjectID="_1545491466" r:id="rId29"/>
        </w:object>
      </w:r>
      <w:r w:rsidRPr="0039195A">
        <w:t xml:space="preserve">and </w:t>
      </w:r>
      <w:r w:rsidRPr="003D4773">
        <w:rPr>
          <w:position w:val="-14"/>
        </w:rPr>
        <w:object w:dxaOrig="520" w:dyaOrig="380" w14:anchorId="3EC7EFDD">
          <v:shape id="_x0000_i1038" type="#_x0000_t75" style="width:26.25pt;height:18.75pt" o:ole="">
            <v:imagedata r:id="rId18" o:title=""/>
          </v:shape>
          <o:OLEObject Type="Embed" ProgID="Equation.3" ShapeID="_x0000_i1038" DrawAspect="Content" ObjectID="_1545491467" r:id="rId30"/>
        </w:object>
      </w:r>
      <w:r w:rsidRPr="0039195A">
        <w:t xml:space="preserve"> in the NLoS case  (</w:t>
      </w:r>
      <w:r w:rsidRPr="003D4773">
        <w:rPr>
          <w:position w:val="-14"/>
        </w:rPr>
        <w:object w:dxaOrig="1160" w:dyaOrig="380" w14:anchorId="1749BA1E">
          <v:shape id="_x0000_i1039" type="#_x0000_t75" style="width:57.75pt;height:18.75pt" o:ole="">
            <v:imagedata r:id="rId20" o:title=""/>
          </v:shape>
          <o:OLEObject Type="Embed" ProgID="Equation.3" ShapeID="_x0000_i1039" DrawAspect="Content" ObjectID="_1545491468" r:id="rId31"/>
        </w:object>
      </w:r>
      <w:r w:rsidRPr="0039195A">
        <w:t xml:space="preserve">and </w:t>
      </w:r>
      <w:r w:rsidRPr="003D4773">
        <w:rPr>
          <w:position w:val="-14"/>
        </w:rPr>
        <w:object w:dxaOrig="1200" w:dyaOrig="380" w14:anchorId="0275D9A8">
          <v:shape id="_x0000_i1040" type="#_x0000_t75" style="width:60pt;height:18.75pt" o:ole="">
            <v:imagedata r:id="rId22" o:title=""/>
          </v:shape>
          <o:OLEObject Type="Embed" ProgID="Equation.3" ShapeID="_x0000_i1040" DrawAspect="Content" ObjectID="_1545491469" r:id="rId32"/>
        </w:object>
      </w:r>
      <w:r w:rsidRPr="0039195A">
        <w:t xml:space="preserve">for the LoS case) </w:t>
      </w:r>
      <w:r>
        <w:rPr>
          <w:lang w:eastAsia="ko-KR"/>
        </w:rPr>
        <w:t>and plus sign is applied for the other edge.  (iii) If the sub-path intersects the screen plus signs are applied for both edges.</w:t>
      </w:r>
    </w:p>
    <w:p w14:paraId="0C90F9A1" w14:textId="77777777" w:rsidR="006D60CC" w:rsidRPr="006D60CC" w:rsidRDefault="006D60CC">
      <w:pPr>
        <w:pStyle w:val="TOC1"/>
        <w:rPr>
          <w:rFonts w:asciiTheme="minorHAnsi" w:eastAsiaTheme="minorEastAsia" w:hAnsiTheme="minorHAnsi" w:cstheme="minorBidi"/>
          <w:b w:val="0"/>
          <w:sz w:val="22"/>
          <w:lang w:eastAsia="sv-SE"/>
        </w:rPr>
      </w:pPr>
      <w:r>
        <w:t>Proposal 6</w:t>
      </w:r>
      <w:r w:rsidRPr="006D60CC">
        <w:rPr>
          <w:rFonts w:asciiTheme="minorHAnsi" w:eastAsiaTheme="minorEastAsia" w:hAnsiTheme="minorHAnsi" w:cstheme="minorBidi"/>
          <w:b w:val="0"/>
          <w:sz w:val="22"/>
          <w:lang w:eastAsia="sv-SE"/>
        </w:rPr>
        <w:tab/>
      </w:r>
      <w:r>
        <w:t xml:space="preserve">In Table 7.8-6, specify the exact sizes of the blocker screen, i.e., “Drop a blocking screen of </w:t>
      </w:r>
      <w:r w:rsidRPr="0039195A">
        <w:rPr>
          <w:u w:val="single"/>
        </w:rPr>
        <w:t>height 10m and width 2m at</w:t>
      </w:r>
      <w:r>
        <w:t xml:space="preserve"> (80, 10, 1.5)”</w:t>
      </w:r>
    </w:p>
    <w:p w14:paraId="30C555EE" w14:textId="77777777" w:rsidR="006D60CC" w:rsidRPr="006D60CC" w:rsidRDefault="006D60CC">
      <w:pPr>
        <w:pStyle w:val="TOC1"/>
        <w:rPr>
          <w:rFonts w:asciiTheme="minorHAnsi" w:eastAsiaTheme="minorEastAsia" w:hAnsiTheme="minorHAnsi" w:cstheme="minorBidi"/>
          <w:b w:val="0"/>
          <w:sz w:val="22"/>
          <w:lang w:eastAsia="sv-SE"/>
        </w:rPr>
      </w:pPr>
      <w:r>
        <w:t>Proposal 7</w:t>
      </w:r>
      <w:r w:rsidRPr="006D60CC">
        <w:rPr>
          <w:rFonts w:asciiTheme="minorHAnsi" w:eastAsiaTheme="minorEastAsia" w:hAnsiTheme="minorHAnsi" w:cstheme="minorBidi"/>
          <w:b w:val="0"/>
          <w:sz w:val="22"/>
          <w:lang w:eastAsia="sv-SE"/>
        </w:rPr>
        <w:tab/>
      </w:r>
      <w:r>
        <w:t>In Table 7.8-6, change the channel model from CDL-A to CDL-E for better visibility of the blockage effect during the calibrations.</w:t>
      </w:r>
    </w:p>
    <w:p w14:paraId="1D7E4708" w14:textId="77777777" w:rsidR="006D60CC" w:rsidRPr="006D60CC" w:rsidRDefault="006D60CC">
      <w:pPr>
        <w:pStyle w:val="TOC1"/>
        <w:rPr>
          <w:rFonts w:asciiTheme="minorHAnsi" w:eastAsiaTheme="minorEastAsia" w:hAnsiTheme="minorHAnsi" w:cstheme="minorBidi"/>
          <w:b w:val="0"/>
          <w:sz w:val="22"/>
          <w:lang w:eastAsia="sv-SE"/>
        </w:rPr>
      </w:pPr>
      <w:r>
        <w:t>Proposal 8</w:t>
      </w:r>
      <w:r w:rsidRPr="006D60CC">
        <w:rPr>
          <w:rFonts w:asciiTheme="minorHAnsi" w:eastAsiaTheme="minorEastAsia" w:hAnsiTheme="minorHAnsi" w:cstheme="minorBidi"/>
          <w:b w:val="0"/>
          <w:sz w:val="22"/>
          <w:lang w:eastAsia="sv-SE"/>
        </w:rPr>
        <w:tab/>
      </w:r>
      <w:r>
        <w:t xml:space="preserve">In Table 7.8-6, specify the translation-angle assumptions by adding the following statement: </w:t>
      </w:r>
      <w:r w:rsidRPr="0039195A">
        <w:rPr>
          <w:u w:val="single"/>
        </w:rPr>
        <w:t>“For each UT position, translate the AoDs and AoAs of CDL-E such that the LOS path is pointing along the direct path between the BS and UT”</w:t>
      </w:r>
    </w:p>
    <w:p w14:paraId="610770DD" w14:textId="77777777" w:rsidR="008D74B5" w:rsidRDefault="008D74B5" w:rsidP="00E5689D">
      <w:pPr>
        <w:pStyle w:val="BodyText"/>
        <w:rPr>
          <w:b/>
          <w:bCs/>
        </w:rPr>
      </w:pPr>
    </w:p>
    <w:p w14:paraId="7E3C503A" w14:textId="7B2E3BB2" w:rsidR="00C01F33" w:rsidRPr="008D74B5" w:rsidRDefault="00E5689D" w:rsidP="00E5689D">
      <w:pPr>
        <w:pStyle w:val="BodyText"/>
        <w:rPr>
          <w:bCs/>
        </w:rPr>
      </w:pPr>
      <w:r>
        <w:rPr>
          <w:b/>
          <w:bCs/>
        </w:rPr>
        <w:fldChar w:fldCharType="end"/>
      </w:r>
      <w:r w:rsidR="008D74B5">
        <w:rPr>
          <w:bCs/>
        </w:rPr>
        <w:t xml:space="preserve">These proposals have been implemented in the companion draft CR </w:t>
      </w:r>
      <w:r w:rsidR="008D74B5" w:rsidRPr="00B27A83">
        <w:t>R1-17</w:t>
      </w:r>
      <w:r w:rsidR="00B27A83" w:rsidRPr="00B27A83">
        <w:t>01165</w:t>
      </w:r>
      <w:r w:rsidR="008D74B5" w:rsidRPr="00B27A83">
        <w:t xml:space="preserve"> </w:t>
      </w:r>
      <w:r w:rsidR="008D74B5" w:rsidRPr="00B27A83">
        <w:fldChar w:fldCharType="begin"/>
      </w:r>
      <w:r w:rsidR="008D74B5" w:rsidRPr="00B27A83">
        <w:instrText xml:space="preserve"> REF _Ref471730645 \r \h </w:instrText>
      </w:r>
      <w:r w:rsidR="00B27A83">
        <w:instrText xml:space="preserve"> \* MERGEFORMAT </w:instrText>
      </w:r>
      <w:r w:rsidR="008D74B5" w:rsidRPr="00B27A83">
        <w:fldChar w:fldCharType="separate"/>
      </w:r>
      <w:r w:rsidR="008D74B5" w:rsidRPr="00B27A83">
        <w:t>[2]</w:t>
      </w:r>
      <w:r w:rsidR="008D74B5" w:rsidRPr="00B27A83">
        <w:fldChar w:fldCharType="end"/>
      </w:r>
      <w:r w:rsidR="008D74B5" w:rsidRPr="00B27A83">
        <w:t xml:space="preserve">. </w:t>
      </w:r>
    </w:p>
    <w:p w14:paraId="6ADEB2CF" w14:textId="77777777" w:rsidR="00F507D1" w:rsidRPr="00CE0424" w:rsidRDefault="00F507D1" w:rsidP="00CE0424">
      <w:pPr>
        <w:pStyle w:val="Heading1"/>
      </w:pPr>
      <w:bookmarkStart w:id="27" w:name="_In-sequence_SDU_delivery"/>
      <w:bookmarkEnd w:id="27"/>
      <w:r w:rsidRPr="00CE0424">
        <w:t>References</w:t>
      </w:r>
    </w:p>
    <w:p w14:paraId="7C7EA535" w14:textId="37697B82" w:rsidR="00533AC9" w:rsidRDefault="004939A6" w:rsidP="00D02ECB">
      <w:pPr>
        <w:pStyle w:val="Reference"/>
      </w:pPr>
      <w:bookmarkStart w:id="28" w:name="_Ref471120736"/>
      <w:r>
        <w:t>3GPP TR 38.900 V</w:t>
      </w:r>
      <w:r w:rsidR="00DF3DE1">
        <w:t>14</w:t>
      </w:r>
      <w:r>
        <w:t>.</w:t>
      </w:r>
      <w:r w:rsidR="00685E18">
        <w:t>2</w:t>
      </w:r>
      <w:r>
        <w:t>.0, Channel model for spectrum above 6 GHz (Release 14)</w:t>
      </w:r>
      <w:bookmarkEnd w:id="28"/>
    </w:p>
    <w:p w14:paraId="2C9BD4C1" w14:textId="5DBEB1A1" w:rsidR="00AD3A4B" w:rsidRPr="00CE0424" w:rsidRDefault="00AD3A4B" w:rsidP="008D74B5">
      <w:pPr>
        <w:pStyle w:val="Reference"/>
      </w:pPr>
      <w:bookmarkStart w:id="29" w:name="_Ref471730474"/>
      <w:bookmarkStart w:id="30" w:name="_Ref471730645"/>
      <w:r w:rsidRPr="00B27A83">
        <w:t>R1-17</w:t>
      </w:r>
      <w:r w:rsidR="00B27A83" w:rsidRPr="00B27A83">
        <w:t>01165</w:t>
      </w:r>
      <w:bookmarkEnd w:id="29"/>
      <w:r w:rsidR="008D74B5">
        <w:t>, “</w:t>
      </w:r>
      <w:r w:rsidR="008D74B5" w:rsidRPr="00D46C80">
        <w:rPr>
          <w:noProof/>
        </w:rPr>
        <w:t xml:space="preserve">Correction for </w:t>
      </w:r>
      <w:r w:rsidR="008D74B5">
        <w:rPr>
          <w:noProof/>
        </w:rPr>
        <w:t>blockage model B and its calibration assumptions</w:t>
      </w:r>
      <w:r w:rsidR="008D74B5">
        <w:t xml:space="preserve">”, </w:t>
      </w:r>
      <w:r w:rsidR="008D74B5" w:rsidRPr="008D74B5">
        <w:t>Spokane, WA, USA, January, 2017</w:t>
      </w:r>
      <w:r w:rsidR="008D74B5">
        <w:t>.</w:t>
      </w:r>
      <w:bookmarkEnd w:id="30"/>
    </w:p>
    <w:sectPr w:rsidR="00AD3A4B" w:rsidRPr="00CE0424" w:rsidSect="00C02A4C">
      <w:headerReference w:type="even" r:id="rId33"/>
      <w:footerReference w:type="default" r:id="rId3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A1B31" w14:textId="77777777" w:rsidR="008F3084" w:rsidRDefault="008F3084">
      <w:r>
        <w:separator/>
      </w:r>
    </w:p>
  </w:endnote>
  <w:endnote w:type="continuationSeparator" w:id="0">
    <w:p w14:paraId="5C8120DA" w14:textId="77777777" w:rsidR="008F3084" w:rsidRDefault="008F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35CD1" w14:textId="4B5A031C" w:rsidR="00D02ECB" w:rsidRDefault="00D02E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44A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44A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489D1" w14:textId="77777777" w:rsidR="008F3084" w:rsidRDefault="008F3084">
      <w:r>
        <w:separator/>
      </w:r>
    </w:p>
  </w:footnote>
  <w:footnote w:type="continuationSeparator" w:id="0">
    <w:p w14:paraId="0758D31E" w14:textId="77777777" w:rsidR="008F3084" w:rsidRDefault="008F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467" w14:textId="77777777" w:rsidR="00D02ECB" w:rsidRDefault="00D02E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4245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AA7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D035E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180BD6"/>
    <w:multiLevelType w:val="hybridMultilevel"/>
    <w:tmpl w:val="5F5487BE"/>
    <w:lvl w:ilvl="0" w:tplc="AE5EE210">
      <w:start w:val="1"/>
      <w:numFmt w:val="bullet"/>
      <w:lvlText w:val=""/>
      <w:lvlJc w:val="left"/>
      <w:pPr>
        <w:ind w:left="720" w:hanging="360"/>
      </w:pPr>
      <w:rPr>
        <w:rFonts w:ascii="Symbol" w:hAnsi="Symbol" w:hint="default"/>
      </w:rPr>
    </w:lvl>
    <w:lvl w:ilvl="1" w:tplc="C7C216C2">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9A4EF3"/>
    <w:multiLevelType w:val="hybridMultilevel"/>
    <w:tmpl w:val="A3C0A87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0C1651C"/>
    <w:multiLevelType w:val="hybridMultilevel"/>
    <w:tmpl w:val="5B265816"/>
    <w:lvl w:ilvl="0" w:tplc="041D0001">
      <w:start w:val="1"/>
      <w:numFmt w:val="bullet"/>
      <w:lvlText w:val=""/>
      <w:lvlJc w:val="left"/>
      <w:pPr>
        <w:ind w:left="720" w:hanging="360"/>
      </w:pPr>
      <w:rPr>
        <w:rFonts w:ascii="Symbol" w:hAnsi="Symbol" w:hint="default"/>
      </w:rPr>
    </w:lvl>
    <w:lvl w:ilvl="1" w:tplc="C7C216C2">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2"/>
  </w:num>
  <w:num w:numId="18">
    <w:abstractNumId w:val="16"/>
  </w:num>
  <w:num w:numId="19">
    <w:abstractNumId w:val="11"/>
  </w:num>
  <w:num w:numId="20">
    <w:abstractNumId w:val="17"/>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5C2"/>
    <w:rsid w:val="00030B30"/>
    <w:rsid w:val="000325B8"/>
    <w:rsid w:val="00034C15"/>
    <w:rsid w:val="00036BA1"/>
    <w:rsid w:val="00042009"/>
    <w:rsid w:val="000422E2"/>
    <w:rsid w:val="00042F22"/>
    <w:rsid w:val="000444EF"/>
    <w:rsid w:val="00044D69"/>
    <w:rsid w:val="00052A07"/>
    <w:rsid w:val="000534E3"/>
    <w:rsid w:val="00053C8B"/>
    <w:rsid w:val="0005606A"/>
    <w:rsid w:val="00057117"/>
    <w:rsid w:val="000616E7"/>
    <w:rsid w:val="0006487E"/>
    <w:rsid w:val="00065E1A"/>
    <w:rsid w:val="000660E1"/>
    <w:rsid w:val="00077E5F"/>
    <w:rsid w:val="0008036A"/>
    <w:rsid w:val="00081AE6"/>
    <w:rsid w:val="000855EB"/>
    <w:rsid w:val="00085B52"/>
    <w:rsid w:val="000866F2"/>
    <w:rsid w:val="00086E8A"/>
    <w:rsid w:val="0009009F"/>
    <w:rsid w:val="00091557"/>
    <w:rsid w:val="000924C1"/>
    <w:rsid w:val="000924F0"/>
    <w:rsid w:val="00093474"/>
    <w:rsid w:val="0009510F"/>
    <w:rsid w:val="000A1B7B"/>
    <w:rsid w:val="000A56F2"/>
    <w:rsid w:val="000A7C9E"/>
    <w:rsid w:val="000B2719"/>
    <w:rsid w:val="000B3A8F"/>
    <w:rsid w:val="000B4AB9"/>
    <w:rsid w:val="000B58C3"/>
    <w:rsid w:val="000B61E9"/>
    <w:rsid w:val="000B71B3"/>
    <w:rsid w:val="000C165A"/>
    <w:rsid w:val="000C2E19"/>
    <w:rsid w:val="000D0D07"/>
    <w:rsid w:val="000D0E16"/>
    <w:rsid w:val="000D4797"/>
    <w:rsid w:val="000E0527"/>
    <w:rsid w:val="000E1E92"/>
    <w:rsid w:val="000E5755"/>
    <w:rsid w:val="000E77EC"/>
    <w:rsid w:val="000F06D6"/>
    <w:rsid w:val="000F0EB1"/>
    <w:rsid w:val="000F1106"/>
    <w:rsid w:val="000F3BE9"/>
    <w:rsid w:val="000F3F6C"/>
    <w:rsid w:val="000F6DF3"/>
    <w:rsid w:val="001005FF"/>
    <w:rsid w:val="001062FB"/>
    <w:rsid w:val="001063E6"/>
    <w:rsid w:val="00113CF4"/>
    <w:rsid w:val="001141E3"/>
    <w:rsid w:val="001153EA"/>
    <w:rsid w:val="00115643"/>
    <w:rsid w:val="00116765"/>
    <w:rsid w:val="00121953"/>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D01"/>
    <w:rsid w:val="001551B5"/>
    <w:rsid w:val="00164C48"/>
    <w:rsid w:val="001659C1"/>
    <w:rsid w:val="00171C82"/>
    <w:rsid w:val="00173A8E"/>
    <w:rsid w:val="00174BA4"/>
    <w:rsid w:val="0018143F"/>
    <w:rsid w:val="00190AC1"/>
    <w:rsid w:val="0019341A"/>
    <w:rsid w:val="00197DF9"/>
    <w:rsid w:val="001A1987"/>
    <w:rsid w:val="001A2564"/>
    <w:rsid w:val="001A6173"/>
    <w:rsid w:val="001A6CBA"/>
    <w:rsid w:val="001B0D97"/>
    <w:rsid w:val="001B2928"/>
    <w:rsid w:val="001B5A5D"/>
    <w:rsid w:val="001C1CE5"/>
    <w:rsid w:val="001C3D2A"/>
    <w:rsid w:val="001D51BA"/>
    <w:rsid w:val="001D596B"/>
    <w:rsid w:val="001D6342"/>
    <w:rsid w:val="001D6D53"/>
    <w:rsid w:val="001E2560"/>
    <w:rsid w:val="001E58E2"/>
    <w:rsid w:val="001E7AED"/>
    <w:rsid w:val="001F2DC6"/>
    <w:rsid w:val="001F3916"/>
    <w:rsid w:val="001F54C5"/>
    <w:rsid w:val="001F662C"/>
    <w:rsid w:val="001F7074"/>
    <w:rsid w:val="00200490"/>
    <w:rsid w:val="00201F3A"/>
    <w:rsid w:val="00203F96"/>
    <w:rsid w:val="00205E87"/>
    <w:rsid w:val="00205FBC"/>
    <w:rsid w:val="002069B2"/>
    <w:rsid w:val="00207765"/>
    <w:rsid w:val="00207FA3"/>
    <w:rsid w:val="00214DA8"/>
    <w:rsid w:val="00215423"/>
    <w:rsid w:val="002158FA"/>
    <w:rsid w:val="00220600"/>
    <w:rsid w:val="00220DD8"/>
    <w:rsid w:val="002224DB"/>
    <w:rsid w:val="00223FCB"/>
    <w:rsid w:val="00224450"/>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B84"/>
    <w:rsid w:val="00267C83"/>
    <w:rsid w:val="0027144F"/>
    <w:rsid w:val="00271813"/>
    <w:rsid w:val="00271F3A"/>
    <w:rsid w:val="00273278"/>
    <w:rsid w:val="002737F4"/>
    <w:rsid w:val="002805F5"/>
    <w:rsid w:val="00280751"/>
    <w:rsid w:val="00282141"/>
    <w:rsid w:val="0028280A"/>
    <w:rsid w:val="00286ACD"/>
    <w:rsid w:val="00287838"/>
    <w:rsid w:val="002907B5"/>
    <w:rsid w:val="00292EB7"/>
    <w:rsid w:val="0029445E"/>
    <w:rsid w:val="00294EA4"/>
    <w:rsid w:val="00296227"/>
    <w:rsid w:val="00296F44"/>
    <w:rsid w:val="0029777D"/>
    <w:rsid w:val="002A055E"/>
    <w:rsid w:val="002A1D4E"/>
    <w:rsid w:val="002A2869"/>
    <w:rsid w:val="002A362D"/>
    <w:rsid w:val="002A3C7F"/>
    <w:rsid w:val="002A499B"/>
    <w:rsid w:val="002B0F7D"/>
    <w:rsid w:val="002B24D6"/>
    <w:rsid w:val="002C41E6"/>
    <w:rsid w:val="002D071A"/>
    <w:rsid w:val="002D0C6D"/>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7438"/>
    <w:rsid w:val="003203ED"/>
    <w:rsid w:val="00322C9F"/>
    <w:rsid w:val="00324D23"/>
    <w:rsid w:val="00327997"/>
    <w:rsid w:val="00331751"/>
    <w:rsid w:val="00331B7B"/>
    <w:rsid w:val="00334579"/>
    <w:rsid w:val="00335858"/>
    <w:rsid w:val="003362B3"/>
    <w:rsid w:val="00336BDA"/>
    <w:rsid w:val="00336CFE"/>
    <w:rsid w:val="00342BD7"/>
    <w:rsid w:val="00343E9D"/>
    <w:rsid w:val="00346DB5"/>
    <w:rsid w:val="003477B1"/>
    <w:rsid w:val="00352E09"/>
    <w:rsid w:val="00357380"/>
    <w:rsid w:val="0035797E"/>
    <w:rsid w:val="003602D9"/>
    <w:rsid w:val="003604CE"/>
    <w:rsid w:val="00370E47"/>
    <w:rsid w:val="003742AC"/>
    <w:rsid w:val="00374ADB"/>
    <w:rsid w:val="00377CE1"/>
    <w:rsid w:val="0038001D"/>
    <w:rsid w:val="0038591C"/>
    <w:rsid w:val="00385BF0"/>
    <w:rsid w:val="003939FF"/>
    <w:rsid w:val="003A0E41"/>
    <w:rsid w:val="003A2223"/>
    <w:rsid w:val="003A2A0F"/>
    <w:rsid w:val="003A302F"/>
    <w:rsid w:val="003A45A1"/>
    <w:rsid w:val="003A5B0A"/>
    <w:rsid w:val="003A6BAC"/>
    <w:rsid w:val="003A7EF3"/>
    <w:rsid w:val="003B159C"/>
    <w:rsid w:val="003B369F"/>
    <w:rsid w:val="003B36A3"/>
    <w:rsid w:val="003B77D5"/>
    <w:rsid w:val="003B7FE5"/>
    <w:rsid w:val="003C11C8"/>
    <w:rsid w:val="003C22C1"/>
    <w:rsid w:val="003C2702"/>
    <w:rsid w:val="003C7806"/>
    <w:rsid w:val="003D109F"/>
    <w:rsid w:val="003D1A66"/>
    <w:rsid w:val="003D2478"/>
    <w:rsid w:val="003D3C45"/>
    <w:rsid w:val="003D5B1F"/>
    <w:rsid w:val="003D7F82"/>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7CE"/>
    <w:rsid w:val="00413AAC"/>
    <w:rsid w:val="00413E92"/>
    <w:rsid w:val="004179E5"/>
    <w:rsid w:val="00421105"/>
    <w:rsid w:val="004242F4"/>
    <w:rsid w:val="0042547E"/>
    <w:rsid w:val="00427248"/>
    <w:rsid w:val="004363A4"/>
    <w:rsid w:val="0043736F"/>
    <w:rsid w:val="00437447"/>
    <w:rsid w:val="00441782"/>
    <w:rsid w:val="00441A92"/>
    <w:rsid w:val="00444F56"/>
    <w:rsid w:val="0044574C"/>
    <w:rsid w:val="00446488"/>
    <w:rsid w:val="004517AA"/>
    <w:rsid w:val="00452CAC"/>
    <w:rsid w:val="00454952"/>
    <w:rsid w:val="00457565"/>
    <w:rsid w:val="00457B71"/>
    <w:rsid w:val="004669E2"/>
    <w:rsid w:val="00466E54"/>
    <w:rsid w:val="00467665"/>
    <w:rsid w:val="00470C31"/>
    <w:rsid w:val="004734D0"/>
    <w:rsid w:val="0047556B"/>
    <w:rsid w:val="0047589F"/>
    <w:rsid w:val="00477768"/>
    <w:rsid w:val="00492BC5"/>
    <w:rsid w:val="004939A6"/>
    <w:rsid w:val="004964F1"/>
    <w:rsid w:val="004A16BC"/>
    <w:rsid w:val="004A2B94"/>
    <w:rsid w:val="004B7C0C"/>
    <w:rsid w:val="004C3898"/>
    <w:rsid w:val="004C76CB"/>
    <w:rsid w:val="004D36B1"/>
    <w:rsid w:val="004D7EBD"/>
    <w:rsid w:val="004E0587"/>
    <w:rsid w:val="004E2680"/>
    <w:rsid w:val="004E28F9"/>
    <w:rsid w:val="004E462E"/>
    <w:rsid w:val="004E56DC"/>
    <w:rsid w:val="004E76F4"/>
    <w:rsid w:val="004F0B4E"/>
    <w:rsid w:val="004F0B6C"/>
    <w:rsid w:val="004F2078"/>
    <w:rsid w:val="004F4DA3"/>
    <w:rsid w:val="004F69C1"/>
    <w:rsid w:val="00506557"/>
    <w:rsid w:val="0050677A"/>
    <w:rsid w:val="005108D8"/>
    <w:rsid w:val="005116F9"/>
    <w:rsid w:val="005153A7"/>
    <w:rsid w:val="005219CF"/>
    <w:rsid w:val="00524323"/>
    <w:rsid w:val="00533AC9"/>
    <w:rsid w:val="00534B59"/>
    <w:rsid w:val="00536759"/>
    <w:rsid w:val="00537C62"/>
    <w:rsid w:val="00542B11"/>
    <w:rsid w:val="00546970"/>
    <w:rsid w:val="00554192"/>
    <w:rsid w:val="00554E19"/>
    <w:rsid w:val="005600D3"/>
    <w:rsid w:val="0056121F"/>
    <w:rsid w:val="00572505"/>
    <w:rsid w:val="00575561"/>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0282"/>
    <w:rsid w:val="005C2F09"/>
    <w:rsid w:val="005C74FB"/>
    <w:rsid w:val="005D1602"/>
    <w:rsid w:val="005E385F"/>
    <w:rsid w:val="005E5B81"/>
    <w:rsid w:val="005F0DC7"/>
    <w:rsid w:val="005F2CB1"/>
    <w:rsid w:val="005F3025"/>
    <w:rsid w:val="005F40A0"/>
    <w:rsid w:val="005F618C"/>
    <w:rsid w:val="005F70BD"/>
    <w:rsid w:val="0060283C"/>
    <w:rsid w:val="006032F6"/>
    <w:rsid w:val="00604F14"/>
    <w:rsid w:val="00611B83"/>
    <w:rsid w:val="00613257"/>
    <w:rsid w:val="00620A71"/>
    <w:rsid w:val="00620D80"/>
    <w:rsid w:val="006234A6"/>
    <w:rsid w:val="00623A6C"/>
    <w:rsid w:val="00630001"/>
    <w:rsid w:val="006311B3"/>
    <w:rsid w:val="0063284C"/>
    <w:rsid w:val="00636398"/>
    <w:rsid w:val="006368D3"/>
    <w:rsid w:val="006377EC"/>
    <w:rsid w:val="0064151F"/>
    <w:rsid w:val="00641533"/>
    <w:rsid w:val="0064208D"/>
    <w:rsid w:val="006432FE"/>
    <w:rsid w:val="00643475"/>
    <w:rsid w:val="0064396A"/>
    <w:rsid w:val="0064624E"/>
    <w:rsid w:val="00650AB9"/>
    <w:rsid w:val="00650BEA"/>
    <w:rsid w:val="00655192"/>
    <w:rsid w:val="00655733"/>
    <w:rsid w:val="00655ACD"/>
    <w:rsid w:val="00656A92"/>
    <w:rsid w:val="00656DDE"/>
    <w:rsid w:val="0066011D"/>
    <w:rsid w:val="006607C0"/>
    <w:rsid w:val="006613A6"/>
    <w:rsid w:val="00661EA3"/>
    <w:rsid w:val="0066210E"/>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E18"/>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B8B"/>
    <w:rsid w:val="006C7522"/>
    <w:rsid w:val="006D60CC"/>
    <w:rsid w:val="006D6F08"/>
    <w:rsid w:val="006E062C"/>
    <w:rsid w:val="006E1514"/>
    <w:rsid w:val="006E28B7"/>
    <w:rsid w:val="006E3310"/>
    <w:rsid w:val="006E4E39"/>
    <w:rsid w:val="006E565E"/>
    <w:rsid w:val="006E673D"/>
    <w:rsid w:val="006E7D3B"/>
    <w:rsid w:val="006F1B70"/>
    <w:rsid w:val="006F1D6B"/>
    <w:rsid w:val="006F341D"/>
    <w:rsid w:val="006F3CDE"/>
    <w:rsid w:val="006F58D4"/>
    <w:rsid w:val="0070018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B8E"/>
    <w:rsid w:val="00736D7D"/>
    <w:rsid w:val="00740E58"/>
    <w:rsid w:val="007445A0"/>
    <w:rsid w:val="0074524B"/>
    <w:rsid w:val="00747D8B"/>
    <w:rsid w:val="00751228"/>
    <w:rsid w:val="00752F9E"/>
    <w:rsid w:val="007571E1"/>
    <w:rsid w:val="007604B2"/>
    <w:rsid w:val="007605B0"/>
    <w:rsid w:val="007618C8"/>
    <w:rsid w:val="00762917"/>
    <w:rsid w:val="007636A1"/>
    <w:rsid w:val="00765281"/>
    <w:rsid w:val="00766BAD"/>
    <w:rsid w:val="00770A97"/>
    <w:rsid w:val="00771A82"/>
    <w:rsid w:val="00771F94"/>
    <w:rsid w:val="007755F2"/>
    <w:rsid w:val="00776971"/>
    <w:rsid w:val="00777D37"/>
    <w:rsid w:val="0078177E"/>
    <w:rsid w:val="0078304C"/>
    <w:rsid w:val="00783673"/>
    <w:rsid w:val="00785490"/>
    <w:rsid w:val="00790B99"/>
    <w:rsid w:val="007925EA"/>
    <w:rsid w:val="00793CD8"/>
    <w:rsid w:val="00795C92"/>
    <w:rsid w:val="00796231"/>
    <w:rsid w:val="00796633"/>
    <w:rsid w:val="007967C6"/>
    <w:rsid w:val="007A1CB3"/>
    <w:rsid w:val="007A306F"/>
    <w:rsid w:val="007A43A6"/>
    <w:rsid w:val="007A58A6"/>
    <w:rsid w:val="007A5C41"/>
    <w:rsid w:val="007B3D2D"/>
    <w:rsid w:val="007B50AE"/>
    <w:rsid w:val="007B51DF"/>
    <w:rsid w:val="007B7374"/>
    <w:rsid w:val="007C05DD"/>
    <w:rsid w:val="007C3D18"/>
    <w:rsid w:val="007C60BF"/>
    <w:rsid w:val="007C6A07"/>
    <w:rsid w:val="007C75A1"/>
    <w:rsid w:val="007C77A5"/>
    <w:rsid w:val="007C77E1"/>
    <w:rsid w:val="007D0108"/>
    <w:rsid w:val="007D04E5"/>
    <w:rsid w:val="007D5901"/>
    <w:rsid w:val="007D7526"/>
    <w:rsid w:val="007E0C80"/>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056A"/>
    <w:rsid w:val="00833011"/>
    <w:rsid w:val="0083550C"/>
    <w:rsid w:val="008376AC"/>
    <w:rsid w:val="00840D75"/>
    <w:rsid w:val="008444E8"/>
    <w:rsid w:val="00844E80"/>
    <w:rsid w:val="00846FE7"/>
    <w:rsid w:val="00856911"/>
    <w:rsid w:val="00856A54"/>
    <w:rsid w:val="00860034"/>
    <w:rsid w:val="00866159"/>
    <w:rsid w:val="008677FD"/>
    <w:rsid w:val="008706D4"/>
    <w:rsid w:val="00870F8A"/>
    <w:rsid w:val="008719A4"/>
    <w:rsid w:val="00871D23"/>
    <w:rsid w:val="008733B0"/>
    <w:rsid w:val="00874312"/>
    <w:rsid w:val="0087437C"/>
    <w:rsid w:val="00875CD7"/>
    <w:rsid w:val="00876B4D"/>
    <w:rsid w:val="00877F18"/>
    <w:rsid w:val="00885B14"/>
    <w:rsid w:val="00890EFC"/>
    <w:rsid w:val="00894A88"/>
    <w:rsid w:val="00895386"/>
    <w:rsid w:val="008A21FF"/>
    <w:rsid w:val="008A2CE2"/>
    <w:rsid w:val="008A30AC"/>
    <w:rsid w:val="008A44B8"/>
    <w:rsid w:val="008A51A8"/>
    <w:rsid w:val="008A54C7"/>
    <w:rsid w:val="008A77D8"/>
    <w:rsid w:val="008B0483"/>
    <w:rsid w:val="008B120C"/>
    <w:rsid w:val="008B4EE1"/>
    <w:rsid w:val="008B51A0"/>
    <w:rsid w:val="008B592A"/>
    <w:rsid w:val="008B7B5C"/>
    <w:rsid w:val="008C0C99"/>
    <w:rsid w:val="008C2017"/>
    <w:rsid w:val="008C4958"/>
    <w:rsid w:val="008C4BAA"/>
    <w:rsid w:val="008C6AE8"/>
    <w:rsid w:val="008C7573"/>
    <w:rsid w:val="008D0A39"/>
    <w:rsid w:val="008D34F1"/>
    <w:rsid w:val="008D39D8"/>
    <w:rsid w:val="008D6D1A"/>
    <w:rsid w:val="008D74B5"/>
    <w:rsid w:val="008E065E"/>
    <w:rsid w:val="008E0927"/>
    <w:rsid w:val="008E1909"/>
    <w:rsid w:val="008E626E"/>
    <w:rsid w:val="008E66D7"/>
    <w:rsid w:val="008F1EAB"/>
    <w:rsid w:val="008F3084"/>
    <w:rsid w:val="008F33DC"/>
    <w:rsid w:val="008F477F"/>
    <w:rsid w:val="00902350"/>
    <w:rsid w:val="0090336B"/>
    <w:rsid w:val="009053AA"/>
    <w:rsid w:val="00906939"/>
    <w:rsid w:val="00910B7D"/>
    <w:rsid w:val="00911DFB"/>
    <w:rsid w:val="009139D9"/>
    <w:rsid w:val="00914AD8"/>
    <w:rsid w:val="00916079"/>
    <w:rsid w:val="00917CE9"/>
    <w:rsid w:val="00920BF2"/>
    <w:rsid w:val="00921641"/>
    <w:rsid w:val="00922010"/>
    <w:rsid w:val="00931BD9"/>
    <w:rsid w:val="00935739"/>
    <w:rsid w:val="00935CC9"/>
    <w:rsid w:val="009368F3"/>
    <w:rsid w:val="00941636"/>
    <w:rsid w:val="00943742"/>
    <w:rsid w:val="00943CD7"/>
    <w:rsid w:val="00943F3E"/>
    <w:rsid w:val="00945817"/>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694"/>
    <w:rsid w:val="00985BFD"/>
    <w:rsid w:val="009876C7"/>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374C"/>
    <w:rsid w:val="009C403E"/>
    <w:rsid w:val="009C6832"/>
    <w:rsid w:val="009D4F74"/>
    <w:rsid w:val="009D4FF0"/>
    <w:rsid w:val="009D703C"/>
    <w:rsid w:val="009D718F"/>
    <w:rsid w:val="009E068F"/>
    <w:rsid w:val="009E14E0"/>
    <w:rsid w:val="009E35DB"/>
    <w:rsid w:val="009E47A3"/>
    <w:rsid w:val="009F08F3"/>
    <w:rsid w:val="009F344F"/>
    <w:rsid w:val="009F410A"/>
    <w:rsid w:val="00A031D8"/>
    <w:rsid w:val="00A048A8"/>
    <w:rsid w:val="00A04F49"/>
    <w:rsid w:val="00A13E54"/>
    <w:rsid w:val="00A15745"/>
    <w:rsid w:val="00A17F63"/>
    <w:rsid w:val="00A2193B"/>
    <w:rsid w:val="00A23024"/>
    <w:rsid w:val="00A2351A"/>
    <w:rsid w:val="00A264A9"/>
    <w:rsid w:val="00A27785"/>
    <w:rsid w:val="00A30187"/>
    <w:rsid w:val="00A3448A"/>
    <w:rsid w:val="00A360FA"/>
    <w:rsid w:val="00A36297"/>
    <w:rsid w:val="00A37DE7"/>
    <w:rsid w:val="00A41E2B"/>
    <w:rsid w:val="00A432FA"/>
    <w:rsid w:val="00A43402"/>
    <w:rsid w:val="00A45B74"/>
    <w:rsid w:val="00A524C1"/>
    <w:rsid w:val="00A52E1D"/>
    <w:rsid w:val="00A60727"/>
    <w:rsid w:val="00A61499"/>
    <w:rsid w:val="00A61A3C"/>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5B14"/>
    <w:rsid w:val="00AB0BC8"/>
    <w:rsid w:val="00AB11CA"/>
    <w:rsid w:val="00AB14D9"/>
    <w:rsid w:val="00AB4AB8"/>
    <w:rsid w:val="00AB56E0"/>
    <w:rsid w:val="00AB655E"/>
    <w:rsid w:val="00AC007F"/>
    <w:rsid w:val="00AC2ECD"/>
    <w:rsid w:val="00AC3119"/>
    <w:rsid w:val="00AC49FB"/>
    <w:rsid w:val="00AC5A10"/>
    <w:rsid w:val="00AD0AA3"/>
    <w:rsid w:val="00AD3A4B"/>
    <w:rsid w:val="00AD3F94"/>
    <w:rsid w:val="00AD4A5A"/>
    <w:rsid w:val="00AE27AC"/>
    <w:rsid w:val="00AE2FEB"/>
    <w:rsid w:val="00AE37BE"/>
    <w:rsid w:val="00AE40E0"/>
    <w:rsid w:val="00AE4DBA"/>
    <w:rsid w:val="00AE4F07"/>
    <w:rsid w:val="00AF1C5D"/>
    <w:rsid w:val="00AF42D7"/>
    <w:rsid w:val="00B006FE"/>
    <w:rsid w:val="00B007CB"/>
    <w:rsid w:val="00B02AA9"/>
    <w:rsid w:val="00B02FA3"/>
    <w:rsid w:val="00B03374"/>
    <w:rsid w:val="00B05084"/>
    <w:rsid w:val="00B149FD"/>
    <w:rsid w:val="00B157F9"/>
    <w:rsid w:val="00B20256"/>
    <w:rsid w:val="00B20D09"/>
    <w:rsid w:val="00B26513"/>
    <w:rsid w:val="00B2763F"/>
    <w:rsid w:val="00B27A83"/>
    <w:rsid w:val="00B27AAC"/>
    <w:rsid w:val="00B30177"/>
    <w:rsid w:val="00B30929"/>
    <w:rsid w:val="00B31BBC"/>
    <w:rsid w:val="00B32A44"/>
    <w:rsid w:val="00B35A1B"/>
    <w:rsid w:val="00B372AA"/>
    <w:rsid w:val="00B40445"/>
    <w:rsid w:val="00B41888"/>
    <w:rsid w:val="00B45A52"/>
    <w:rsid w:val="00B46175"/>
    <w:rsid w:val="00B6032F"/>
    <w:rsid w:val="00B64EB7"/>
    <w:rsid w:val="00B664C7"/>
    <w:rsid w:val="00B737D6"/>
    <w:rsid w:val="00B739F6"/>
    <w:rsid w:val="00B81A6C"/>
    <w:rsid w:val="00B85DE5"/>
    <w:rsid w:val="00B90F73"/>
    <w:rsid w:val="00B93B59"/>
    <w:rsid w:val="00B9406A"/>
    <w:rsid w:val="00BA16B2"/>
    <w:rsid w:val="00BA2280"/>
    <w:rsid w:val="00BA2A08"/>
    <w:rsid w:val="00BA43D3"/>
    <w:rsid w:val="00BA56D2"/>
    <w:rsid w:val="00BA76E0"/>
    <w:rsid w:val="00BB2A25"/>
    <w:rsid w:val="00BB51E9"/>
    <w:rsid w:val="00BC0145"/>
    <w:rsid w:val="00BC0FDC"/>
    <w:rsid w:val="00BC3053"/>
    <w:rsid w:val="00BC4D2E"/>
    <w:rsid w:val="00BC6E37"/>
    <w:rsid w:val="00BD2D36"/>
    <w:rsid w:val="00BD48AC"/>
    <w:rsid w:val="00BD5F1A"/>
    <w:rsid w:val="00BE1234"/>
    <w:rsid w:val="00BE2FA6"/>
    <w:rsid w:val="00BE333F"/>
    <w:rsid w:val="00BE7406"/>
    <w:rsid w:val="00BE7603"/>
    <w:rsid w:val="00BF3279"/>
    <w:rsid w:val="00BF635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4BD"/>
    <w:rsid w:val="00C279B5"/>
    <w:rsid w:val="00C27C45"/>
    <w:rsid w:val="00C3719D"/>
    <w:rsid w:val="00C54995"/>
    <w:rsid w:val="00C54D41"/>
    <w:rsid w:val="00C60783"/>
    <w:rsid w:val="00C64672"/>
    <w:rsid w:val="00C675E5"/>
    <w:rsid w:val="00C70697"/>
    <w:rsid w:val="00C72EF4"/>
    <w:rsid w:val="00C75D2F"/>
    <w:rsid w:val="00C766F0"/>
    <w:rsid w:val="00C767BE"/>
    <w:rsid w:val="00C76E3C"/>
    <w:rsid w:val="00C81568"/>
    <w:rsid w:val="00C9027A"/>
    <w:rsid w:val="00C9068E"/>
    <w:rsid w:val="00C93C4B"/>
    <w:rsid w:val="00C944AB"/>
    <w:rsid w:val="00C95B40"/>
    <w:rsid w:val="00CA1068"/>
    <w:rsid w:val="00CA1ED8"/>
    <w:rsid w:val="00CA2417"/>
    <w:rsid w:val="00CA4585"/>
    <w:rsid w:val="00CB1F63"/>
    <w:rsid w:val="00CB4A77"/>
    <w:rsid w:val="00CB5779"/>
    <w:rsid w:val="00CB6DEA"/>
    <w:rsid w:val="00CB7170"/>
    <w:rsid w:val="00CC040E"/>
    <w:rsid w:val="00CC111F"/>
    <w:rsid w:val="00CC2011"/>
    <w:rsid w:val="00CC2566"/>
    <w:rsid w:val="00CC2584"/>
    <w:rsid w:val="00CC3EA0"/>
    <w:rsid w:val="00CC7B45"/>
    <w:rsid w:val="00CD00E2"/>
    <w:rsid w:val="00CD1188"/>
    <w:rsid w:val="00CD2ED1"/>
    <w:rsid w:val="00CD337B"/>
    <w:rsid w:val="00CE0424"/>
    <w:rsid w:val="00CE7561"/>
    <w:rsid w:val="00CF1354"/>
    <w:rsid w:val="00CF3B1F"/>
    <w:rsid w:val="00CF3BF6"/>
    <w:rsid w:val="00CF625B"/>
    <w:rsid w:val="00CF687E"/>
    <w:rsid w:val="00D02ECB"/>
    <w:rsid w:val="00D0349B"/>
    <w:rsid w:val="00D07FCA"/>
    <w:rsid w:val="00D10249"/>
    <w:rsid w:val="00D115C3"/>
    <w:rsid w:val="00D11897"/>
    <w:rsid w:val="00D13135"/>
    <w:rsid w:val="00D13E4E"/>
    <w:rsid w:val="00D168B2"/>
    <w:rsid w:val="00D239A7"/>
    <w:rsid w:val="00D23F47"/>
    <w:rsid w:val="00D311D7"/>
    <w:rsid w:val="00D33E56"/>
    <w:rsid w:val="00D36E71"/>
    <w:rsid w:val="00D37D87"/>
    <w:rsid w:val="00D40B33"/>
    <w:rsid w:val="00D4318F"/>
    <w:rsid w:val="00D438BF"/>
    <w:rsid w:val="00D440F8"/>
    <w:rsid w:val="00D46293"/>
    <w:rsid w:val="00D546FF"/>
    <w:rsid w:val="00D55AD5"/>
    <w:rsid w:val="00D576CA"/>
    <w:rsid w:val="00D61AF5"/>
    <w:rsid w:val="00D652B5"/>
    <w:rsid w:val="00D66155"/>
    <w:rsid w:val="00D708B0"/>
    <w:rsid w:val="00D77B1D"/>
    <w:rsid w:val="00D8021F"/>
    <w:rsid w:val="00D80383"/>
    <w:rsid w:val="00D823C6"/>
    <w:rsid w:val="00D85E94"/>
    <w:rsid w:val="00D86CA3"/>
    <w:rsid w:val="00D871CE"/>
    <w:rsid w:val="00D87B82"/>
    <w:rsid w:val="00D9196D"/>
    <w:rsid w:val="00D92982"/>
    <w:rsid w:val="00DA305E"/>
    <w:rsid w:val="00DA5417"/>
    <w:rsid w:val="00DA56E8"/>
    <w:rsid w:val="00DA78FD"/>
    <w:rsid w:val="00DB0A9F"/>
    <w:rsid w:val="00DB377D"/>
    <w:rsid w:val="00DB38B3"/>
    <w:rsid w:val="00DB49F3"/>
    <w:rsid w:val="00DC2D36"/>
    <w:rsid w:val="00DC53EF"/>
    <w:rsid w:val="00DE5608"/>
    <w:rsid w:val="00DE58D0"/>
    <w:rsid w:val="00DE5CD1"/>
    <w:rsid w:val="00DE654F"/>
    <w:rsid w:val="00DF0B6E"/>
    <w:rsid w:val="00DF15E0"/>
    <w:rsid w:val="00DF37A0"/>
    <w:rsid w:val="00DF3AC4"/>
    <w:rsid w:val="00DF3DE1"/>
    <w:rsid w:val="00DF65AB"/>
    <w:rsid w:val="00E00989"/>
    <w:rsid w:val="00E03EDA"/>
    <w:rsid w:val="00E110E7"/>
    <w:rsid w:val="00E11B20"/>
    <w:rsid w:val="00E1463E"/>
    <w:rsid w:val="00E17FA2"/>
    <w:rsid w:val="00E22330"/>
    <w:rsid w:val="00E30B5A"/>
    <w:rsid w:val="00E3123D"/>
    <w:rsid w:val="00E31461"/>
    <w:rsid w:val="00E31D43"/>
    <w:rsid w:val="00E32608"/>
    <w:rsid w:val="00E34188"/>
    <w:rsid w:val="00E34B6E"/>
    <w:rsid w:val="00E35559"/>
    <w:rsid w:val="00E3723A"/>
    <w:rsid w:val="00E37860"/>
    <w:rsid w:val="00E436F7"/>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49D0"/>
    <w:rsid w:val="00E85928"/>
    <w:rsid w:val="00E87822"/>
    <w:rsid w:val="00E90395"/>
    <w:rsid w:val="00E90E49"/>
    <w:rsid w:val="00E917F9"/>
    <w:rsid w:val="00E91CBD"/>
    <w:rsid w:val="00E9291C"/>
    <w:rsid w:val="00E93FFE"/>
    <w:rsid w:val="00E944AC"/>
    <w:rsid w:val="00E94F8A"/>
    <w:rsid w:val="00EA4B16"/>
    <w:rsid w:val="00EA7A41"/>
    <w:rsid w:val="00EA7BB4"/>
    <w:rsid w:val="00EB077B"/>
    <w:rsid w:val="00EB4EA2"/>
    <w:rsid w:val="00EC27C6"/>
    <w:rsid w:val="00EC4207"/>
    <w:rsid w:val="00EC5653"/>
    <w:rsid w:val="00EC71CE"/>
    <w:rsid w:val="00EC7323"/>
    <w:rsid w:val="00EC77A7"/>
    <w:rsid w:val="00ED1006"/>
    <w:rsid w:val="00EE3A02"/>
    <w:rsid w:val="00EE59C8"/>
    <w:rsid w:val="00EF18FE"/>
    <w:rsid w:val="00EF5787"/>
    <w:rsid w:val="00EF60D0"/>
    <w:rsid w:val="00F0528D"/>
    <w:rsid w:val="00F06C67"/>
    <w:rsid w:val="00F06DFD"/>
    <w:rsid w:val="00F071D1"/>
    <w:rsid w:val="00F07533"/>
    <w:rsid w:val="00F10629"/>
    <w:rsid w:val="00F10720"/>
    <w:rsid w:val="00F15FA5"/>
    <w:rsid w:val="00F209B7"/>
    <w:rsid w:val="00F2376F"/>
    <w:rsid w:val="00F243D8"/>
    <w:rsid w:val="00F25B6E"/>
    <w:rsid w:val="00F25E0C"/>
    <w:rsid w:val="00F260EA"/>
    <w:rsid w:val="00F30828"/>
    <w:rsid w:val="00F313D6"/>
    <w:rsid w:val="00F35D45"/>
    <w:rsid w:val="00F40F0C"/>
    <w:rsid w:val="00F4766C"/>
    <w:rsid w:val="00F5060E"/>
    <w:rsid w:val="00F507D1"/>
    <w:rsid w:val="00F519CE"/>
    <w:rsid w:val="00F51ADA"/>
    <w:rsid w:val="00F607C5"/>
    <w:rsid w:val="00F60DEA"/>
    <w:rsid w:val="00F6178E"/>
    <w:rsid w:val="00F6302A"/>
    <w:rsid w:val="00F649FD"/>
    <w:rsid w:val="00F64C2B"/>
    <w:rsid w:val="00F651BE"/>
    <w:rsid w:val="00F67F53"/>
    <w:rsid w:val="00F703BE"/>
    <w:rsid w:val="00F71F69"/>
    <w:rsid w:val="00F72B72"/>
    <w:rsid w:val="00F74BB9"/>
    <w:rsid w:val="00F75582"/>
    <w:rsid w:val="00F76EFA"/>
    <w:rsid w:val="00F804BE"/>
    <w:rsid w:val="00F817CE"/>
    <w:rsid w:val="00F8456C"/>
    <w:rsid w:val="00F856B5"/>
    <w:rsid w:val="00F859D8"/>
    <w:rsid w:val="00F868F5"/>
    <w:rsid w:val="00F9056A"/>
    <w:rsid w:val="00F90F8D"/>
    <w:rsid w:val="00F92782"/>
    <w:rsid w:val="00F93AA9"/>
    <w:rsid w:val="00F96985"/>
    <w:rsid w:val="00F97838"/>
    <w:rsid w:val="00FA261D"/>
    <w:rsid w:val="00FA2BB3"/>
    <w:rsid w:val="00FB1C8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BC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1D2D5"/>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link w:val="CommentTextChar"/>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EE3A02"/>
    <w:rPr>
      <w:color w:val="808080"/>
    </w:rPr>
  </w:style>
  <w:style w:type="character" w:customStyle="1" w:styleId="CommentTextChar">
    <w:name w:val="Comment Text Char"/>
    <w:link w:val="CommentText"/>
    <w:semiHidden/>
    <w:rsid w:val="00736B8E"/>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73071">
      <w:bodyDiv w:val="1"/>
      <w:marLeft w:val="0"/>
      <w:marRight w:val="0"/>
      <w:marTop w:val="0"/>
      <w:marBottom w:val="0"/>
      <w:divBdr>
        <w:top w:val="none" w:sz="0" w:space="0" w:color="auto"/>
        <w:left w:val="none" w:sz="0" w:space="0" w:color="auto"/>
        <w:bottom w:val="none" w:sz="0" w:space="0" w:color="auto"/>
        <w:right w:val="none" w:sz="0" w:space="0" w:color="auto"/>
      </w:divBdr>
      <w:divsChild>
        <w:div w:id="213272775">
          <w:marLeft w:val="0"/>
          <w:marRight w:val="0"/>
          <w:marTop w:val="0"/>
          <w:marBottom w:val="0"/>
          <w:divBdr>
            <w:top w:val="none" w:sz="0" w:space="0" w:color="auto"/>
            <w:left w:val="none" w:sz="0" w:space="0" w:color="auto"/>
            <w:bottom w:val="none" w:sz="0" w:space="0" w:color="auto"/>
            <w:right w:val="none" w:sz="0" w:space="0" w:color="auto"/>
          </w:divBdr>
        </w:div>
      </w:divsChild>
    </w:div>
    <w:div w:id="821890880">
      <w:bodyDiv w:val="1"/>
      <w:marLeft w:val="0"/>
      <w:marRight w:val="0"/>
      <w:marTop w:val="0"/>
      <w:marBottom w:val="0"/>
      <w:divBdr>
        <w:top w:val="none" w:sz="0" w:space="0" w:color="auto"/>
        <w:left w:val="none" w:sz="0" w:space="0" w:color="auto"/>
        <w:bottom w:val="none" w:sz="0" w:space="0" w:color="auto"/>
        <w:right w:val="none" w:sz="0" w:space="0" w:color="auto"/>
      </w:divBdr>
      <w:divsChild>
        <w:div w:id="1384334702">
          <w:marLeft w:val="0"/>
          <w:marRight w:val="0"/>
          <w:marTop w:val="0"/>
          <w:marBottom w:val="0"/>
          <w:divBdr>
            <w:top w:val="none" w:sz="0" w:space="0" w:color="auto"/>
            <w:left w:val="none" w:sz="0" w:space="0" w:color="auto"/>
            <w:bottom w:val="none" w:sz="0" w:space="0" w:color="auto"/>
            <w:right w:val="none" w:sz="0" w:space="0" w:color="auto"/>
          </w:divBdr>
        </w:div>
      </w:divsChild>
    </w:div>
    <w:div w:id="866211201">
      <w:bodyDiv w:val="1"/>
      <w:marLeft w:val="0"/>
      <w:marRight w:val="0"/>
      <w:marTop w:val="0"/>
      <w:marBottom w:val="0"/>
      <w:divBdr>
        <w:top w:val="none" w:sz="0" w:space="0" w:color="auto"/>
        <w:left w:val="none" w:sz="0" w:space="0" w:color="auto"/>
        <w:bottom w:val="none" w:sz="0" w:space="0" w:color="auto"/>
        <w:right w:val="none" w:sz="0" w:space="0" w:color="auto"/>
      </w:divBdr>
    </w:div>
    <w:div w:id="12467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784F6-66C6-4BD6-9653-AEB26F22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239</TotalTime>
  <Pages>5</Pages>
  <Words>2308</Words>
  <Characters>12235</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Henrik Asplund</cp:lastModifiedBy>
  <cp:revision>28</cp:revision>
  <cp:lastPrinted>2008-01-31T15:09:00Z</cp:lastPrinted>
  <dcterms:created xsi:type="dcterms:W3CDTF">2017-01-05T14:38:00Z</dcterms:created>
  <dcterms:modified xsi:type="dcterms:W3CDTF">2017-01-09T17:24:00Z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